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FF" w:rsidRDefault="00AA135E">
      <w:pPr>
        <w:pStyle w:val="Textbody"/>
        <w:snapToGrid w:val="0"/>
        <w:rPr>
          <w:rFonts w:ascii="標楷體" w:eastAsia="標楷體" w:hAnsi="標楷體" w:cs="標楷體"/>
          <w:sz w:val="40"/>
          <w:szCs w:val="40"/>
        </w:rPr>
      </w:pPr>
      <w:bookmarkStart w:id="0" w:name="_GoBack"/>
      <w:bookmarkEnd w:id="0"/>
      <w:r>
        <w:rPr>
          <w:rFonts w:ascii="標楷體" w:eastAsia="標楷體" w:hAnsi="標楷體" w:cs="標楷體"/>
          <w:sz w:val="40"/>
          <w:szCs w:val="40"/>
        </w:rPr>
        <w:t>臺中市政府及所屬各機關學校工程採購契約變更單價編列及議價注意事項</w:t>
      </w:r>
    </w:p>
    <w:p w:rsidR="000634FF" w:rsidRDefault="00AA135E">
      <w:pPr>
        <w:pStyle w:val="Textbody"/>
        <w:wordWrap w:val="0"/>
        <w:snapToGrid w:val="0"/>
        <w:spacing w:before="180" w:line="160" w:lineRule="exact"/>
        <w:jc w:val="right"/>
        <w:rPr>
          <w:rFonts w:ascii="標楷體" w:eastAsia="標楷體" w:hAnsi="標楷體" w:cs="標楷體"/>
          <w:color w:val="0D0D0D"/>
          <w:sz w:val="20"/>
          <w:szCs w:val="20"/>
        </w:rPr>
      </w:pPr>
      <w:r>
        <w:rPr>
          <w:rFonts w:ascii="標楷體" w:eastAsia="標楷體" w:hAnsi="標楷體" w:cs="標楷體"/>
          <w:color w:val="0D0D0D"/>
          <w:sz w:val="20"/>
          <w:szCs w:val="20"/>
        </w:rPr>
        <w:t>中華民國</w:t>
      </w:r>
      <w:r>
        <w:rPr>
          <w:rFonts w:ascii="標楷體" w:eastAsia="標楷體" w:hAnsi="標楷體" w:cs="標楷體"/>
          <w:color w:val="0D0D0D"/>
          <w:sz w:val="20"/>
          <w:szCs w:val="20"/>
        </w:rPr>
        <w:t>108</w:t>
      </w:r>
      <w:r>
        <w:rPr>
          <w:rFonts w:ascii="標楷體" w:eastAsia="標楷體" w:hAnsi="標楷體" w:cs="標楷體"/>
          <w:color w:val="0D0D0D"/>
          <w:sz w:val="20"/>
          <w:szCs w:val="20"/>
        </w:rPr>
        <w:t>年</w:t>
      </w:r>
      <w:r>
        <w:rPr>
          <w:rFonts w:ascii="標楷體" w:eastAsia="標楷體" w:hAnsi="標楷體" w:cs="標楷體"/>
          <w:color w:val="0D0D0D"/>
          <w:sz w:val="20"/>
          <w:szCs w:val="20"/>
        </w:rPr>
        <w:t>5</w:t>
      </w:r>
      <w:r>
        <w:rPr>
          <w:rFonts w:ascii="標楷體" w:eastAsia="標楷體" w:hAnsi="標楷體" w:cs="標楷體"/>
          <w:color w:val="0D0D0D"/>
          <w:sz w:val="20"/>
          <w:szCs w:val="20"/>
        </w:rPr>
        <w:t>月</w:t>
      </w:r>
      <w:r>
        <w:rPr>
          <w:rFonts w:ascii="標楷體" w:eastAsia="標楷體" w:hAnsi="標楷體" w:cs="標楷體"/>
          <w:color w:val="0D0D0D"/>
          <w:sz w:val="20"/>
          <w:szCs w:val="20"/>
        </w:rPr>
        <w:t>13</w:t>
      </w:r>
      <w:r>
        <w:rPr>
          <w:rFonts w:ascii="標楷體" w:eastAsia="標楷體" w:hAnsi="標楷體" w:cs="標楷體"/>
          <w:color w:val="0D0D0D"/>
          <w:sz w:val="20"/>
          <w:szCs w:val="20"/>
        </w:rPr>
        <w:t>日府授秘採字第</w:t>
      </w:r>
      <w:r>
        <w:rPr>
          <w:rFonts w:ascii="標楷體" w:eastAsia="標楷體" w:hAnsi="標楷體" w:cs="標楷體"/>
          <w:color w:val="0D0D0D"/>
          <w:sz w:val="20"/>
          <w:szCs w:val="20"/>
        </w:rPr>
        <w:t>1080108078</w:t>
      </w:r>
      <w:r>
        <w:rPr>
          <w:rFonts w:ascii="標楷體" w:eastAsia="標楷體" w:hAnsi="標楷體" w:cs="標楷體"/>
          <w:color w:val="0D0D0D"/>
          <w:sz w:val="20"/>
          <w:szCs w:val="20"/>
        </w:rPr>
        <w:t>號函訂定</w:t>
      </w:r>
    </w:p>
    <w:p w:rsidR="000634FF" w:rsidRDefault="00AA135E">
      <w:pPr>
        <w:pStyle w:val="Textbody"/>
        <w:wordWrap w:val="0"/>
        <w:snapToGrid w:val="0"/>
        <w:spacing w:before="180" w:line="160" w:lineRule="exact"/>
        <w:jc w:val="right"/>
        <w:rPr>
          <w:rFonts w:ascii="標楷體" w:eastAsia="標楷體" w:hAnsi="標楷體" w:cs="標楷體"/>
          <w:color w:val="0D0D0D"/>
          <w:sz w:val="20"/>
          <w:szCs w:val="20"/>
        </w:rPr>
      </w:pPr>
      <w:r>
        <w:rPr>
          <w:rFonts w:ascii="標楷體" w:eastAsia="標楷體" w:hAnsi="標楷體" w:cs="標楷體"/>
          <w:color w:val="0D0D0D"/>
          <w:sz w:val="20"/>
          <w:szCs w:val="20"/>
        </w:rPr>
        <w:t>中華民國</w:t>
      </w:r>
      <w:r>
        <w:rPr>
          <w:rFonts w:ascii="標楷體" w:eastAsia="標楷體" w:hAnsi="標楷體" w:cs="標楷體"/>
          <w:color w:val="0D0D0D"/>
          <w:sz w:val="20"/>
          <w:szCs w:val="20"/>
        </w:rPr>
        <w:t>109</w:t>
      </w:r>
      <w:r>
        <w:rPr>
          <w:rFonts w:ascii="標楷體" w:eastAsia="標楷體" w:hAnsi="標楷體" w:cs="標楷體"/>
          <w:color w:val="0D0D0D"/>
          <w:sz w:val="20"/>
          <w:szCs w:val="20"/>
        </w:rPr>
        <w:t>年</w:t>
      </w:r>
      <w:r>
        <w:rPr>
          <w:rFonts w:ascii="標楷體" w:eastAsia="標楷體" w:hAnsi="標楷體" w:cs="標楷體"/>
          <w:color w:val="0D0D0D"/>
          <w:sz w:val="20"/>
          <w:szCs w:val="20"/>
        </w:rPr>
        <w:t>2</w:t>
      </w:r>
      <w:r>
        <w:rPr>
          <w:rFonts w:ascii="標楷體" w:eastAsia="標楷體" w:hAnsi="標楷體" w:cs="標楷體"/>
          <w:color w:val="0D0D0D"/>
          <w:sz w:val="20"/>
          <w:szCs w:val="20"/>
        </w:rPr>
        <w:t>月</w:t>
      </w:r>
      <w:r>
        <w:rPr>
          <w:rFonts w:ascii="標楷體" w:eastAsia="標楷體" w:hAnsi="標楷體" w:cs="標楷體"/>
          <w:color w:val="0D0D0D"/>
          <w:sz w:val="20"/>
          <w:szCs w:val="20"/>
        </w:rPr>
        <w:t>14</w:t>
      </w:r>
      <w:r>
        <w:rPr>
          <w:rFonts w:ascii="標楷體" w:eastAsia="標楷體" w:hAnsi="標楷體" w:cs="標楷體"/>
          <w:color w:val="0D0D0D"/>
          <w:sz w:val="20"/>
          <w:szCs w:val="20"/>
        </w:rPr>
        <w:t>日府授秘採字第</w:t>
      </w:r>
      <w:r>
        <w:rPr>
          <w:rFonts w:ascii="標楷體" w:eastAsia="標楷體" w:hAnsi="標楷體" w:cs="標楷體"/>
          <w:color w:val="0D0D0D"/>
          <w:sz w:val="20"/>
          <w:szCs w:val="20"/>
        </w:rPr>
        <w:t>1090033055</w:t>
      </w:r>
      <w:r>
        <w:rPr>
          <w:rFonts w:ascii="標楷體" w:eastAsia="標楷體" w:hAnsi="標楷體" w:cs="標楷體"/>
          <w:color w:val="0D0D0D"/>
          <w:sz w:val="20"/>
          <w:szCs w:val="20"/>
        </w:rPr>
        <w:t>號函修正</w:t>
      </w:r>
    </w:p>
    <w:p w:rsidR="000634FF" w:rsidRDefault="00AA135E">
      <w:pPr>
        <w:pStyle w:val="Textbody"/>
        <w:spacing w:before="180" w:line="460" w:lineRule="exact"/>
        <w:ind w:left="560" w:hanging="560"/>
        <w:rPr>
          <w:rFonts w:ascii="標楷體" w:eastAsia="標楷體" w:hAnsi="標楷體" w:cs="標楷體"/>
          <w:sz w:val="28"/>
          <w:szCs w:val="28"/>
        </w:rPr>
      </w:pPr>
      <w:r>
        <w:rPr>
          <w:rFonts w:ascii="標楷體" w:eastAsia="標楷體" w:hAnsi="標楷體" w:cs="標楷體"/>
          <w:sz w:val="28"/>
          <w:szCs w:val="28"/>
        </w:rPr>
        <w:t>一、臺中市政府為協助所屬各機關、學校、公營事業（以下簡稱機關）辦理工程採購契約變更，合理編列新增項目單價，並提升議價效率，特訂定本注意事項。</w:t>
      </w:r>
    </w:p>
    <w:p w:rsidR="000634FF" w:rsidRDefault="00AA135E">
      <w:pPr>
        <w:pStyle w:val="Textbody"/>
        <w:spacing w:line="460" w:lineRule="exact"/>
        <w:ind w:left="560" w:hanging="560"/>
        <w:rPr>
          <w:rFonts w:ascii="標楷體" w:eastAsia="標楷體" w:hAnsi="標楷體" w:cs="標楷體"/>
          <w:sz w:val="28"/>
          <w:szCs w:val="28"/>
        </w:rPr>
      </w:pPr>
      <w:r>
        <w:rPr>
          <w:rFonts w:ascii="標楷體" w:eastAsia="標楷體" w:hAnsi="標楷體" w:cs="標楷體"/>
          <w:sz w:val="28"/>
          <w:szCs w:val="28"/>
        </w:rPr>
        <w:t>二、機關辦理工程採購契約因原訂項目增減數量及新增項目，其單價編列及議價，應依本注意事項辦理。</w:t>
      </w:r>
    </w:p>
    <w:p w:rsidR="000634FF" w:rsidRDefault="00AA135E">
      <w:pPr>
        <w:pStyle w:val="Textbody"/>
        <w:spacing w:line="460" w:lineRule="exact"/>
        <w:jc w:val="both"/>
        <w:rPr>
          <w:rFonts w:ascii="標楷體" w:eastAsia="標楷體" w:hAnsi="標楷體" w:cs="標楷體"/>
          <w:sz w:val="28"/>
          <w:szCs w:val="28"/>
        </w:rPr>
      </w:pPr>
      <w:r>
        <w:rPr>
          <w:rFonts w:ascii="標楷體" w:eastAsia="標楷體" w:hAnsi="標楷體" w:cs="標楷體"/>
          <w:sz w:val="28"/>
          <w:szCs w:val="28"/>
        </w:rPr>
        <w:t>三、本注意事項用詞，定義如下：</w:t>
      </w:r>
    </w:p>
    <w:p w:rsidR="000634FF" w:rsidRDefault="00AA135E">
      <w:pPr>
        <w:pStyle w:val="Textbody"/>
        <w:spacing w:line="460" w:lineRule="exact"/>
        <w:ind w:firstLine="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契約項目：指契約詳細價目表列有之項目。</w:t>
      </w:r>
    </w:p>
    <w:p w:rsidR="000634FF" w:rsidRDefault="00AA135E">
      <w:pPr>
        <w:pStyle w:val="Textbody"/>
        <w:spacing w:line="460" w:lineRule="exact"/>
        <w:ind w:firstLine="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新增項目：指因契約變更增訂契約詳細價目表所無之項目。</w:t>
      </w:r>
    </w:p>
    <w:p w:rsidR="000634FF" w:rsidRDefault="00AA135E">
      <w:pPr>
        <w:pStyle w:val="Textbody"/>
        <w:spacing w:line="460" w:lineRule="exact"/>
        <w:ind w:firstLine="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細項：指契約單價分析表之項目。</w:t>
      </w:r>
    </w:p>
    <w:p w:rsidR="000634FF" w:rsidRDefault="00AA135E">
      <w:pPr>
        <w:pStyle w:val="Textbody"/>
        <w:spacing w:line="460" w:lineRule="exact"/>
        <w:ind w:left="210" w:hanging="210"/>
        <w:jc w:val="both"/>
        <w:rPr>
          <w:rFonts w:ascii="標楷體" w:eastAsia="標楷體" w:hAnsi="標楷體" w:cs="標楷體"/>
          <w:sz w:val="28"/>
          <w:szCs w:val="28"/>
        </w:rPr>
      </w:pPr>
      <w:r>
        <w:rPr>
          <w:rFonts w:ascii="標楷體" w:eastAsia="標楷體" w:hAnsi="標楷體" w:cs="標楷體"/>
          <w:sz w:val="28"/>
          <w:szCs w:val="28"/>
        </w:rPr>
        <w:t>四、契約單價給付原則：</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依實作數量結算者，除契約另有約定者外，按完成履約實際施作或供應之項目及數量依契約單價給付。但採購契約變更涉及原契約個別項目數量增加或減少者，該契約單價給付原則得以契約變更程序，辦理調整契約單價如下：</w:t>
      </w:r>
    </w:p>
    <w:p w:rsidR="000634FF" w:rsidRDefault="00AA135E">
      <w:pPr>
        <w:pStyle w:val="Textbody"/>
        <w:spacing w:line="460" w:lineRule="exact"/>
        <w:ind w:left="1266" w:hanging="70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1</w:t>
      </w:r>
      <w:r>
        <w:rPr>
          <w:rFonts w:ascii="標楷體" w:eastAsia="標楷體" w:hAnsi="標楷體" w:cs="標楷體"/>
          <w:sz w:val="28"/>
          <w:szCs w:val="28"/>
        </w:rPr>
        <w:t>、個別項目實作數量較契約所定數量增加達百分之三十以上時，其逾百分之三十之部分，應以契約變更合理調整契約單價及計算契約價金。</w:t>
      </w:r>
    </w:p>
    <w:p w:rsidR="000634FF" w:rsidRDefault="00AA135E">
      <w:pPr>
        <w:pStyle w:val="Textbody"/>
        <w:spacing w:line="460" w:lineRule="exact"/>
        <w:ind w:left="1266" w:hanging="700"/>
        <w:jc w:val="both"/>
        <w:rPr>
          <w:rFonts w:ascii="標楷體" w:eastAsia="標楷體" w:hAnsi="標楷體" w:cs="標楷體"/>
          <w:sz w:val="28"/>
          <w:szCs w:val="28"/>
        </w:rPr>
      </w:pPr>
      <w:r>
        <w:rPr>
          <w:rFonts w:ascii="標楷體" w:eastAsia="標楷體" w:hAnsi="標楷體" w:cs="標楷體"/>
          <w:sz w:val="28"/>
          <w:szCs w:val="28"/>
        </w:rPr>
        <w:t xml:space="preserve">  2</w:t>
      </w:r>
      <w:r>
        <w:rPr>
          <w:rFonts w:ascii="標楷體" w:eastAsia="標楷體" w:hAnsi="標楷體" w:cs="標楷體"/>
          <w:sz w:val="28"/>
          <w:szCs w:val="28"/>
        </w:rPr>
        <w:t>、個別項目實作數量較契約所定數量減少達百分之三十以上時，依原契約單價計算契約價金顯不合理者，應就顯不合理之部分以契約變更合理調整實作數量部分之契約單價及計算契約價金。</w:t>
      </w:r>
    </w:p>
    <w:p w:rsidR="000634FF" w:rsidRDefault="00AA135E">
      <w:pPr>
        <w:pStyle w:val="Textbody"/>
        <w:spacing w:line="460" w:lineRule="exact"/>
        <w:ind w:firstLine="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依契約價金總額結算者：</w:t>
      </w:r>
    </w:p>
    <w:p w:rsidR="000634FF" w:rsidRDefault="00AA135E">
      <w:pPr>
        <w:pStyle w:val="Textbody"/>
        <w:spacing w:line="460" w:lineRule="exact"/>
        <w:ind w:left="1272" w:hanging="420"/>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、個別項目實作數量較契約所定數量增減達百分之三以上時，其逾百分之三之部分，依原契約單價以契約變更增減契約價金；未達百分之三者，契約價金不予增減。</w:t>
      </w:r>
    </w:p>
    <w:p w:rsidR="000634FF" w:rsidRDefault="00AA135E">
      <w:pPr>
        <w:pStyle w:val="Textbody"/>
        <w:spacing w:line="460" w:lineRule="exact"/>
        <w:ind w:left="1272" w:hanging="420"/>
        <w:jc w:val="both"/>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、個別項目實作數量較契約所定數量</w:t>
      </w:r>
      <w:r>
        <w:rPr>
          <w:rFonts w:ascii="標楷體" w:eastAsia="標楷體" w:hAnsi="標楷體" w:cs="標楷體"/>
          <w:sz w:val="28"/>
          <w:szCs w:val="28"/>
        </w:rPr>
        <w:t>增加達百分之三十以上時，</w:t>
      </w:r>
      <w:r>
        <w:rPr>
          <w:rFonts w:ascii="標楷體" w:eastAsia="標楷體" w:hAnsi="標楷體" w:cs="標楷體"/>
          <w:sz w:val="28"/>
          <w:szCs w:val="28"/>
        </w:rPr>
        <w:lastRenderedPageBreak/>
        <w:t>其逾百分之三十之部分，應以契約變更合理調整契約單價及計算契約價金。</w:t>
      </w:r>
    </w:p>
    <w:p w:rsidR="000634FF" w:rsidRDefault="00AA135E">
      <w:pPr>
        <w:pStyle w:val="Textbody"/>
        <w:spacing w:line="460" w:lineRule="exact"/>
        <w:ind w:left="1272" w:hanging="420"/>
        <w:jc w:val="both"/>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、個別項目實作數量較契約所定數量減少達百分之三十以上時，依原契約單價計算契約價金顯不合理者，應就顯不合理之部分以契約變更合理調整實作數量部分之契約單價及計算契約價金。</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部分依實作數量結算，部分依契約價金總額結算者，分別依本點第一款及第二款辦理。</w:t>
      </w:r>
    </w:p>
    <w:p w:rsidR="000634FF" w:rsidRDefault="00AA135E">
      <w:pPr>
        <w:pStyle w:val="Textbody"/>
        <w:spacing w:line="460" w:lineRule="exact"/>
        <w:ind w:left="565" w:hanging="1"/>
        <w:jc w:val="both"/>
        <w:rPr>
          <w:rFonts w:ascii="標楷體" w:eastAsia="標楷體" w:hAnsi="標楷體" w:cs="標楷體"/>
          <w:sz w:val="28"/>
          <w:szCs w:val="28"/>
        </w:rPr>
      </w:pPr>
      <w:r>
        <w:rPr>
          <w:rFonts w:ascii="標楷體" w:eastAsia="標楷體" w:hAnsi="標楷體" w:cs="標楷體"/>
          <w:sz w:val="28"/>
          <w:szCs w:val="28"/>
        </w:rPr>
        <w:t>前項第一款及第二款個別項目實作數量較契約所定數量增加或減少之比率，機關依採購個案需求認定確有必要調整者，得另訂之。</w:t>
      </w:r>
    </w:p>
    <w:p w:rsidR="000634FF" w:rsidRDefault="00AA135E">
      <w:pPr>
        <w:pStyle w:val="Textbody"/>
        <w:spacing w:line="460" w:lineRule="exact"/>
        <w:jc w:val="both"/>
        <w:rPr>
          <w:rFonts w:ascii="標楷體" w:eastAsia="標楷體" w:hAnsi="標楷體" w:cs="標楷體"/>
          <w:sz w:val="28"/>
          <w:szCs w:val="28"/>
        </w:rPr>
      </w:pPr>
      <w:r>
        <w:rPr>
          <w:rFonts w:ascii="標楷體" w:eastAsia="標楷體" w:hAnsi="標楷體" w:cs="標楷體"/>
          <w:sz w:val="28"/>
          <w:szCs w:val="28"/>
        </w:rPr>
        <w:t>五、採購契約變更涉及新增項目者，其單價編列原則如下</w:t>
      </w:r>
      <w:r>
        <w:rPr>
          <w:rFonts w:ascii="標楷體" w:eastAsia="標楷體" w:hAnsi="標楷體" w:cs="標楷體"/>
          <w:sz w:val="28"/>
          <w:szCs w:val="28"/>
        </w:rPr>
        <w:t>：</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新增項目中如包含契約項目或細項，該單價除有第六點情形外，以援用契約項目及細項單價為原則。</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前款以外情形，新增項目或其細項應考量市場行情編列，得參考行政院公共工程委員會公開於網站之公共工程價格資料庫、營建物價等具公信力刊物之市價、相關同業公會、非原供應或施工之行業廠商訪、詢價等方式辦理。</w:t>
      </w:r>
    </w:p>
    <w:p w:rsidR="000634FF" w:rsidRDefault="00AA135E">
      <w:pPr>
        <w:pStyle w:val="Textbody"/>
        <w:spacing w:line="460" w:lineRule="exact"/>
        <w:ind w:left="560" w:hanging="560"/>
        <w:rPr>
          <w:rFonts w:ascii="標楷體" w:eastAsia="標楷體" w:hAnsi="標楷體" w:cs="標楷體"/>
          <w:sz w:val="28"/>
          <w:szCs w:val="28"/>
        </w:rPr>
      </w:pPr>
      <w:r>
        <w:rPr>
          <w:rFonts w:ascii="標楷體" w:eastAsia="標楷體" w:hAnsi="標楷體" w:cs="標楷體"/>
          <w:sz w:val="28"/>
          <w:szCs w:val="28"/>
        </w:rPr>
        <w:t>六、因機關辦理契約變更，涉及契約項目數量增減或新增項目援用契約項目及細項，有下列情形之一，且依前二點規定辦理顯失公平者，得由廠商舉證，並經機關確認後就該項目另行議價：</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依契約該等項目之工法或製程不可行。</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契約項目因契約變更，致其價格或履約條件改變。</w:t>
      </w:r>
    </w:p>
    <w:p w:rsidR="000634FF" w:rsidRDefault="00AA135E">
      <w:pPr>
        <w:pStyle w:val="Textbody"/>
        <w:spacing w:line="460" w:lineRule="exact"/>
        <w:ind w:left="560" w:hanging="560"/>
        <w:rPr>
          <w:rFonts w:ascii="標楷體" w:eastAsia="標楷體" w:hAnsi="標楷體" w:cs="標楷體"/>
          <w:sz w:val="28"/>
          <w:szCs w:val="28"/>
        </w:rPr>
      </w:pPr>
      <w:r>
        <w:rPr>
          <w:rFonts w:ascii="標楷體" w:eastAsia="標楷體" w:hAnsi="標楷體" w:cs="標楷體"/>
          <w:sz w:val="28"/>
          <w:szCs w:val="28"/>
        </w:rPr>
        <w:t>七、依契約價金總額結算給付者，契約項目如經機關確認屬漏列且未於其他項目中編列者，應辦理契約變更新增項目及另行議價。</w:t>
      </w:r>
    </w:p>
    <w:p w:rsidR="000634FF" w:rsidRDefault="00AA135E">
      <w:pPr>
        <w:pStyle w:val="Textbody"/>
        <w:spacing w:line="460" w:lineRule="exact"/>
        <w:ind w:left="518" w:hanging="518"/>
        <w:jc w:val="both"/>
        <w:rPr>
          <w:rFonts w:ascii="標楷體" w:eastAsia="標楷體" w:hAnsi="標楷體" w:cs="標楷體"/>
          <w:sz w:val="28"/>
          <w:szCs w:val="28"/>
        </w:rPr>
      </w:pPr>
      <w:r>
        <w:rPr>
          <w:rFonts w:ascii="標楷體" w:eastAsia="標楷體" w:hAnsi="標楷體" w:cs="標楷體"/>
          <w:sz w:val="28"/>
          <w:szCs w:val="28"/>
        </w:rPr>
        <w:t>八、機關辦理契約變更新增項目議價，由機關視其項目之多寡及需要，參考下列方式辦理：</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新增項目僅一項者，以該新增項目之單價直接議價。</w:t>
      </w:r>
    </w:p>
    <w:p w:rsidR="000634FF" w:rsidRDefault="00AA135E">
      <w:pPr>
        <w:pStyle w:val="Textbody"/>
        <w:spacing w:line="460" w:lineRule="exact"/>
        <w:ind w:left="1132" w:hanging="566"/>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新增項目有二項以上者，以全部新增項目及其數量之總額合計議定總價，再按比例調整各項目單價。</w:t>
      </w:r>
    </w:p>
    <w:p w:rsidR="000634FF" w:rsidRDefault="00AA135E">
      <w:pPr>
        <w:pStyle w:val="Textbody"/>
        <w:spacing w:line="460" w:lineRule="exact"/>
        <w:ind w:left="560" w:hanging="560"/>
        <w:rPr>
          <w:rFonts w:ascii="標楷體" w:eastAsia="標楷體" w:hAnsi="標楷體" w:cs="標楷體"/>
          <w:sz w:val="28"/>
          <w:szCs w:val="28"/>
        </w:rPr>
      </w:pPr>
      <w:r>
        <w:rPr>
          <w:rFonts w:ascii="標楷體" w:eastAsia="標楷體" w:hAnsi="標楷體" w:cs="標楷體"/>
          <w:sz w:val="28"/>
          <w:szCs w:val="28"/>
        </w:rPr>
        <w:t>九、機關辦理契約變更新增項目議價前，工程主辦單位應將新增項目中</w:t>
      </w:r>
      <w:r>
        <w:rPr>
          <w:rFonts w:ascii="標楷體" w:eastAsia="標楷體" w:hAnsi="標楷體" w:cs="標楷體"/>
          <w:sz w:val="28"/>
          <w:szCs w:val="28"/>
        </w:rPr>
        <w:lastRenderedPageBreak/>
        <w:t>援用契約單價部分所占金額與新增細項單價部分所占金額之比例計算後，供首長或其授權人員核定底價參考。</w:t>
      </w:r>
    </w:p>
    <w:p w:rsidR="000634FF" w:rsidRDefault="00AA135E">
      <w:pPr>
        <w:pStyle w:val="Textbody"/>
        <w:spacing w:line="460" w:lineRule="exact"/>
        <w:ind w:left="560" w:hanging="560"/>
        <w:rPr>
          <w:rFonts w:ascii="標楷體" w:eastAsia="標楷體" w:hAnsi="標楷體" w:cs="標楷體"/>
          <w:sz w:val="28"/>
          <w:szCs w:val="28"/>
        </w:rPr>
      </w:pPr>
      <w:r>
        <w:rPr>
          <w:rFonts w:ascii="標楷體" w:eastAsia="標楷體" w:hAnsi="標楷體" w:cs="標楷體"/>
          <w:sz w:val="28"/>
          <w:szCs w:val="28"/>
        </w:rPr>
        <w:t>十、新增項目議價達成協議後，應依協議之金額調整各新增項目及細項之單價；援用契約單價之部分，議價後不予調整。</w:t>
      </w:r>
    </w:p>
    <w:p w:rsidR="000634FF" w:rsidRDefault="00AA135E">
      <w:pPr>
        <w:pStyle w:val="Textbody"/>
        <w:spacing w:line="460" w:lineRule="exact"/>
        <w:ind w:left="796" w:hanging="784"/>
        <w:jc w:val="both"/>
      </w:pPr>
      <w:r>
        <w:rPr>
          <w:rFonts w:ascii="標楷體" w:eastAsia="標楷體" w:hAnsi="標楷體" w:cs="標楷體"/>
          <w:sz w:val="28"/>
          <w:szCs w:val="28"/>
        </w:rPr>
        <w:t>十一、工程主辦單位簽辦契約變更議價時，應先填寫工程契約變更議價說明書</w:t>
      </w:r>
      <w:r>
        <w:rPr>
          <w:rFonts w:ascii="標楷體" w:eastAsia="標楷體" w:hAnsi="標楷體" w:cs="標楷體"/>
          <w:sz w:val="28"/>
          <w:szCs w:val="28"/>
        </w:rPr>
        <w:t>(</w:t>
      </w:r>
      <w:r>
        <w:rPr>
          <w:rFonts w:ascii="標楷體" w:eastAsia="標楷體" w:hAnsi="標楷體" w:cs="標楷體"/>
          <w:sz w:val="28"/>
          <w:szCs w:val="28"/>
        </w:rPr>
        <w:t>如附表</w:t>
      </w:r>
      <w:r>
        <w:rPr>
          <w:rFonts w:ascii="標楷體" w:eastAsia="標楷體" w:hAnsi="標楷體" w:cs="標楷體"/>
          <w:sz w:val="28"/>
          <w:szCs w:val="28"/>
        </w:rPr>
        <w:t>)</w:t>
      </w:r>
      <w:r>
        <w:rPr>
          <w:rFonts w:ascii="標楷體" w:eastAsia="標楷體" w:hAnsi="標楷體" w:cs="標楷體"/>
          <w:sz w:val="28"/>
          <w:szCs w:val="28"/>
        </w:rPr>
        <w:t>並確定下列數額：</w:t>
      </w:r>
    </w:p>
    <w:p w:rsidR="000634FF" w:rsidRDefault="00AA135E">
      <w:pPr>
        <w:pStyle w:val="Textbody"/>
        <w:spacing w:line="460" w:lineRule="exact"/>
        <w:ind w:left="1414" w:hanging="848"/>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加帳金額：其計算方式為新增項目及原有項目加帳部分合計之累計金額，但依政府採購法第二十二條第一項第六款規定辦理者，該金額不得逾原主契約金額百分之五十。</w:t>
      </w:r>
    </w:p>
    <w:p w:rsidR="000634FF" w:rsidRDefault="00AA135E">
      <w:pPr>
        <w:pStyle w:val="Textbody"/>
        <w:spacing w:line="460" w:lineRule="exact"/>
        <w:ind w:left="1411" w:hanging="703"/>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變更部分累計金額：其計算方式為「加帳金額」</w:t>
      </w:r>
      <w:r>
        <w:rPr>
          <w:rFonts w:ascii="標楷體" w:eastAsia="標楷體" w:hAnsi="標楷體" w:cs="標楷體"/>
          <w:sz w:val="28"/>
          <w:szCs w:val="28"/>
        </w:rPr>
        <w:t>及「減帳金額絕對值」合計之累計金額，以決定適用政府採購法第十二條或第十三條之監辦規定。</w:t>
      </w:r>
    </w:p>
    <w:p w:rsidR="000634FF" w:rsidRDefault="00AA135E">
      <w:pPr>
        <w:pStyle w:val="Textbody"/>
        <w:spacing w:line="460" w:lineRule="exact"/>
        <w:ind w:left="852" w:hanging="840"/>
        <w:jc w:val="both"/>
      </w:pPr>
      <w:r>
        <w:rPr>
          <w:rStyle w:val="WW-"/>
          <w:rFonts w:ascii="標楷體" w:eastAsia="標楷體" w:hAnsi="標楷體" w:cs="標楷體"/>
          <w:sz w:val="28"/>
          <w:szCs w:val="28"/>
        </w:rPr>
        <w:t>十二、工程變更設計或修正施工預算為採購契約變更，應依行政院公共工程委員會頒定之採購契約變更或加減價核准監辦備查規定一覽表辦理。</w:t>
      </w:r>
    </w:p>
    <w:p w:rsidR="000634FF" w:rsidRDefault="00AA135E">
      <w:pPr>
        <w:pStyle w:val="Textbody"/>
        <w:spacing w:line="460" w:lineRule="exact"/>
        <w:ind w:left="812" w:hanging="812"/>
        <w:jc w:val="both"/>
        <w:rPr>
          <w:rFonts w:ascii="標楷體" w:eastAsia="標楷體" w:hAnsi="標楷體" w:cs="標楷體"/>
          <w:sz w:val="28"/>
          <w:szCs w:val="28"/>
        </w:rPr>
      </w:pPr>
      <w:r>
        <w:rPr>
          <w:rFonts w:ascii="標楷體" w:eastAsia="標楷體" w:hAnsi="標楷體" w:cs="標楷體"/>
          <w:sz w:val="28"/>
          <w:szCs w:val="28"/>
        </w:rPr>
        <w:t>十三、工程辦理變更設計或修正施工預算時，應先請原規劃、設計廠商或承辦人員說明，查明原因及釐清責任歸屬併修正施工</w:t>
      </w:r>
      <w:r>
        <w:rPr>
          <w:rFonts w:ascii="標楷體" w:eastAsia="標楷體" w:hAnsi="標楷體" w:cs="標楷體"/>
          <w:sz w:val="28"/>
          <w:szCs w:val="28"/>
        </w:rPr>
        <w:t>(</w:t>
      </w:r>
      <w:r>
        <w:rPr>
          <w:rFonts w:ascii="標楷體" w:eastAsia="標楷體" w:hAnsi="標楷體" w:cs="標楷體"/>
          <w:sz w:val="28"/>
          <w:szCs w:val="28"/>
        </w:rPr>
        <w:t>變更設計</w:t>
      </w:r>
      <w:r>
        <w:rPr>
          <w:rFonts w:ascii="標楷體" w:eastAsia="標楷體" w:hAnsi="標楷體" w:cs="標楷體"/>
          <w:sz w:val="28"/>
          <w:szCs w:val="28"/>
        </w:rPr>
        <w:t>)</w:t>
      </w:r>
      <w:r>
        <w:rPr>
          <w:rFonts w:ascii="標楷體" w:eastAsia="標楷體" w:hAnsi="標楷體" w:cs="標楷體"/>
          <w:sz w:val="28"/>
          <w:szCs w:val="28"/>
        </w:rPr>
        <w:t>預算書依規定陳報，並檢討相關人員責任。</w:t>
      </w:r>
    </w:p>
    <w:p w:rsidR="000634FF" w:rsidRDefault="00AA135E">
      <w:pPr>
        <w:pStyle w:val="Textbody"/>
        <w:spacing w:line="460" w:lineRule="exact"/>
        <w:ind w:left="812" w:hanging="812"/>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工程設計嚴重錯誤或施工疏忽情節重大，致辦理變更設計者，應予追究責任。</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十四、採購契約變更新增項目之議價程序，依招標文件規定</w:t>
      </w:r>
      <w:r>
        <w:rPr>
          <w:rFonts w:ascii="標楷體" w:eastAsia="標楷體" w:hAnsi="標楷體" w:cs="標楷體"/>
          <w:sz w:val="28"/>
          <w:szCs w:val="28"/>
        </w:rPr>
        <w:t>辦理。議價未能達成協議時，機關得與廠商協調，瞭解無法達成協議之原因，並加以檢討後，再進行下一次議價。</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前項檢討，其內容應包括市場行情之再確認、該採購案決標時之競標情形、政府機關決標資料等事項，經重新檢討結果有不合理或必要時，得調整預算或重新核定底價。</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議價以不超過三次且合計不逾三個月</w:t>
      </w:r>
      <w:r>
        <w:rPr>
          <w:rFonts w:ascii="標楷體" w:eastAsia="標楷體" w:hAnsi="標楷體" w:cs="標楷體"/>
          <w:sz w:val="28"/>
          <w:szCs w:val="28"/>
        </w:rPr>
        <w:t>(</w:t>
      </w:r>
      <w:r>
        <w:rPr>
          <w:rFonts w:ascii="標楷體" w:eastAsia="標楷體" w:hAnsi="標楷體" w:cs="標楷體"/>
          <w:sz w:val="28"/>
          <w:szCs w:val="28"/>
        </w:rPr>
        <w:t>自第一次議價日起算至達成協議之期間</w:t>
      </w:r>
      <w:r>
        <w:rPr>
          <w:rFonts w:ascii="標楷體" w:eastAsia="標楷體" w:hAnsi="標楷體" w:cs="標楷體"/>
          <w:sz w:val="28"/>
          <w:szCs w:val="28"/>
        </w:rPr>
        <w:t>)</w:t>
      </w:r>
      <w:r>
        <w:rPr>
          <w:rFonts w:ascii="標楷體" w:eastAsia="標楷體" w:hAnsi="標楷體" w:cs="標楷體"/>
          <w:sz w:val="28"/>
          <w:szCs w:val="28"/>
        </w:rPr>
        <w:t>為原則。但機關依前項規定檢討加速決標之策進作為，經機關首長或其授權人員核准者，不在此限。</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十五、機關依前點規定辦理結果，如仍無法達成協議時，得依政府採購</w:t>
      </w:r>
      <w:r>
        <w:rPr>
          <w:rFonts w:ascii="標楷體" w:eastAsia="標楷體" w:hAnsi="標楷體" w:cs="標楷體"/>
          <w:sz w:val="28"/>
          <w:szCs w:val="28"/>
        </w:rPr>
        <w:lastRenderedPageBreak/>
        <w:t>法第六章爭議處理方式辦理。</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前項情形，如機關有成立採購審查小組者，得先由該小組協助審查。</w:t>
      </w:r>
    </w:p>
    <w:p w:rsidR="000634FF" w:rsidRDefault="00AA135E">
      <w:pPr>
        <w:pStyle w:val="Textbody"/>
        <w:spacing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十六、本注意事項於財物採購及勞務採購得準用之。</w:t>
      </w:r>
    </w:p>
    <w:p w:rsidR="000634FF" w:rsidRDefault="000634FF">
      <w:pPr>
        <w:pStyle w:val="Textbody"/>
        <w:spacing w:line="300" w:lineRule="exact"/>
        <w:jc w:val="both"/>
        <w:rPr>
          <w:rFonts w:ascii="標楷體" w:eastAsia="標楷體" w:hAnsi="標楷體" w:cs="標楷體"/>
        </w:rPr>
      </w:pPr>
    </w:p>
    <w:p w:rsidR="000634FF" w:rsidRDefault="000634FF">
      <w:pPr>
        <w:pStyle w:val="Textbody"/>
        <w:pageBreakBefore/>
        <w:spacing w:line="300" w:lineRule="exact"/>
        <w:jc w:val="both"/>
        <w:rPr>
          <w:rFonts w:ascii="標楷體" w:eastAsia="標楷體" w:hAnsi="標楷體" w:cs="標楷體"/>
        </w:rPr>
      </w:pPr>
    </w:p>
    <w:p w:rsidR="000634FF" w:rsidRDefault="000634FF">
      <w:pPr>
        <w:pStyle w:val="Textbody"/>
        <w:spacing w:line="300" w:lineRule="exact"/>
        <w:jc w:val="both"/>
        <w:rPr>
          <w:rFonts w:ascii="標楷體" w:eastAsia="標楷體" w:hAnsi="標楷體" w:cs="標楷體"/>
        </w:rPr>
      </w:pPr>
    </w:p>
    <w:p w:rsidR="000634FF" w:rsidRDefault="00AA135E">
      <w:pPr>
        <w:pStyle w:val="Textbody"/>
        <w:spacing w:line="300" w:lineRule="exact"/>
        <w:jc w:val="both"/>
      </w:pPr>
      <w:r>
        <w:rPr>
          <w:rFonts w:ascii="標楷體" w:eastAsia="標楷體" w:hAnsi="標楷體" w:cs="標楷體"/>
          <w:noProof/>
        </w:rPr>
        <mc:AlternateContent>
          <mc:Choice Requires="wps">
            <w:drawing>
              <wp:anchor distT="0" distB="0" distL="114300" distR="114300" simplePos="0" relativeHeight="251658240" behindDoc="1" locked="0" layoutInCell="1" allowOverlap="1">
                <wp:simplePos x="0" y="0"/>
                <wp:positionH relativeFrom="margin">
                  <wp:posOffset>-190469</wp:posOffset>
                </wp:positionH>
                <wp:positionV relativeFrom="paragraph">
                  <wp:posOffset>-526328</wp:posOffset>
                </wp:positionV>
                <wp:extent cx="875025" cy="513078"/>
                <wp:effectExtent l="0" t="0" r="1275" b="1272"/>
                <wp:wrapNone/>
                <wp:docPr id="1" name="Frame1"/>
                <wp:cNvGraphicFramePr/>
                <a:graphic xmlns:a="http://schemas.openxmlformats.org/drawingml/2006/main">
                  <a:graphicData uri="http://schemas.microsoft.com/office/word/2010/wordprocessingShape">
                    <wps:wsp>
                      <wps:cNvSpPr txBox="1"/>
                      <wps:spPr>
                        <a:xfrm>
                          <a:off x="0" y="0"/>
                          <a:ext cx="875025" cy="513078"/>
                        </a:xfrm>
                        <a:prstGeom prst="rect">
                          <a:avLst/>
                        </a:prstGeom>
                        <a:noFill/>
                        <a:ln>
                          <a:noFill/>
                          <a:prstDash/>
                        </a:ln>
                      </wps:spPr>
                      <wps:txbx>
                        <w:txbxContent>
                          <w:p w:rsidR="000634FF" w:rsidRDefault="00AA135E">
                            <w:pPr>
                              <w:pStyle w:val="Textbody"/>
                              <w:rPr>
                                <w:rFonts w:ascii="標楷體" w:eastAsia="標楷體" w:hAnsi="標楷體" w:cs="標楷體"/>
                                <w:sz w:val="32"/>
                                <w:szCs w:val="32"/>
                              </w:rPr>
                            </w:pPr>
                            <w:r>
                              <w:rPr>
                                <w:rFonts w:ascii="標楷體" w:eastAsia="標楷體" w:hAnsi="標楷體" w:cs="標楷體"/>
                                <w:sz w:val="32"/>
                                <w:szCs w:val="32"/>
                              </w:rPr>
                              <w:t>附表</w:t>
                            </w:r>
                          </w:p>
                        </w:txbxContent>
                      </wps:txbx>
                      <wps:bodyPr vert="horz" wrap="non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15pt;margin-top:-41.45pt;width:68.9pt;height:40.4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" filled="f" stroked="f">
                <v:textbox inset="0,0,0,0">
                  <w:txbxContent>
                    <w:p w:rsidR="000634FF" w:rsidRDefault="00AA135E">
                      <w:pPr>
                        <w:pStyle w:val="Textbody"/>
                        <w:rPr>
                          <w:rFonts w:ascii="標楷體" w:eastAsia="標楷體" w:hAnsi="標楷體" w:cs="標楷體"/>
                          <w:sz w:val="32"/>
                          <w:szCs w:val="32"/>
                        </w:rPr>
                      </w:pPr>
                      <w:r>
                        <w:rPr>
                          <w:rFonts w:ascii="標楷體" w:eastAsia="標楷體" w:hAnsi="標楷體" w:cs="標楷體"/>
                          <w:sz w:val="32"/>
                          <w:szCs w:val="32"/>
                        </w:rPr>
                        <w:t>附表</w:t>
                      </w:r>
                    </w:p>
                  </w:txbxContent>
                </v:textbox>
                <w10:wrap anchorx="margin"/>
              </v:shape>
            </w:pict>
          </mc:Fallback>
        </mc:AlternateContent>
      </w:r>
    </w:p>
    <w:p w:rsidR="000634FF" w:rsidRDefault="00AA135E">
      <w:pPr>
        <w:pStyle w:val="Textbody"/>
        <w:spacing w:line="480" w:lineRule="exact"/>
        <w:jc w:val="both"/>
      </w:pPr>
      <w:r>
        <w:rPr>
          <w:rStyle w:val="WW-"/>
          <w:rFonts w:eastAsia="標楷體"/>
          <w:sz w:val="28"/>
          <w:szCs w:val="28"/>
        </w:rPr>
        <w:t>工程契約變更議價說明書一、工程名稱：</w:t>
      </w:r>
    </w:p>
    <w:p w:rsidR="000634FF" w:rsidRDefault="00AA135E">
      <w:pPr>
        <w:pStyle w:val="Textbody"/>
        <w:spacing w:line="480" w:lineRule="exact"/>
      </w:pPr>
      <w:r>
        <w:rPr>
          <w:rStyle w:val="WW-"/>
          <w:rFonts w:eastAsia="標楷體"/>
          <w:sz w:val="28"/>
          <w:szCs w:val="28"/>
        </w:rPr>
        <w:t>二、契約編號：</w:t>
      </w:r>
    </w:p>
    <w:p w:rsidR="000634FF" w:rsidRDefault="00AA135E">
      <w:pPr>
        <w:pStyle w:val="Textbody"/>
        <w:spacing w:line="480" w:lineRule="exact"/>
      </w:pPr>
      <w:r>
        <w:rPr>
          <w:rStyle w:val="WW-"/>
          <w:rFonts w:eastAsia="標楷體"/>
          <w:sz w:val="28"/>
          <w:szCs w:val="28"/>
        </w:rPr>
        <w:t>三、法令依據：政府採購法第二十二條第一項第</w:t>
      </w:r>
      <w:r>
        <w:rPr>
          <w:rStyle w:val="WW-"/>
          <w:rFonts w:eastAsia="Times New Roman"/>
          <w:sz w:val="28"/>
          <w:szCs w:val="28"/>
          <w:u w:val="single"/>
        </w:rPr>
        <w:t xml:space="preserve">    </w:t>
      </w:r>
      <w:r>
        <w:rPr>
          <w:rStyle w:val="WW-"/>
          <w:rFonts w:eastAsia="標楷體"/>
          <w:sz w:val="28"/>
          <w:szCs w:val="28"/>
        </w:rPr>
        <w:t>款</w:t>
      </w:r>
    </w:p>
    <w:p w:rsidR="000634FF" w:rsidRDefault="00AA135E">
      <w:pPr>
        <w:pStyle w:val="Textbody"/>
        <w:spacing w:line="480" w:lineRule="exact"/>
      </w:pPr>
      <w:r>
        <w:rPr>
          <w:rStyle w:val="WW-"/>
          <w:rFonts w:eastAsia="標楷體"/>
          <w:sz w:val="28"/>
          <w:szCs w:val="28"/>
        </w:rPr>
        <w:t>四、前次累積變更次數：共</w:t>
      </w:r>
      <w:r>
        <w:rPr>
          <w:rStyle w:val="WW-"/>
          <w:rFonts w:eastAsia="Times New Roman"/>
          <w:sz w:val="28"/>
          <w:szCs w:val="28"/>
          <w:u w:val="single"/>
        </w:rPr>
        <w:t xml:space="preserve">        </w:t>
      </w:r>
      <w:r>
        <w:rPr>
          <w:rStyle w:val="WW-"/>
          <w:rFonts w:eastAsia="標楷體"/>
          <w:sz w:val="28"/>
          <w:szCs w:val="28"/>
        </w:rPr>
        <w:t>次</w:t>
      </w:r>
    </w:p>
    <w:p w:rsidR="000634FF" w:rsidRDefault="00AA135E">
      <w:pPr>
        <w:pStyle w:val="Textbody"/>
        <w:spacing w:line="480" w:lineRule="exact"/>
      </w:pPr>
      <w:r>
        <w:rPr>
          <w:rStyle w:val="WW-"/>
          <w:rFonts w:eastAsia="標楷體"/>
          <w:sz w:val="28"/>
          <w:szCs w:val="28"/>
        </w:rPr>
        <w:t>五、原契約金額：新台幣</w:t>
      </w:r>
      <w:r>
        <w:rPr>
          <w:rStyle w:val="WW-"/>
          <w:rFonts w:eastAsia="Times New Roman"/>
          <w:sz w:val="28"/>
          <w:szCs w:val="28"/>
          <w:u w:val="single"/>
        </w:rPr>
        <w:t xml:space="preserve">              </w:t>
      </w:r>
      <w:r>
        <w:rPr>
          <w:rStyle w:val="WW-"/>
          <w:rFonts w:eastAsia="標楷體"/>
          <w:sz w:val="28"/>
          <w:szCs w:val="28"/>
        </w:rPr>
        <w:t>元</w:t>
      </w:r>
    </w:p>
    <w:p w:rsidR="000634FF" w:rsidRDefault="00AA135E">
      <w:pPr>
        <w:pStyle w:val="Textbody"/>
        <w:spacing w:line="480" w:lineRule="exact"/>
      </w:pPr>
      <w:r>
        <w:rPr>
          <w:rStyle w:val="WW-"/>
          <w:rFonts w:eastAsia="標楷體"/>
          <w:sz w:val="28"/>
          <w:szCs w:val="28"/>
        </w:rPr>
        <w:t>六、前次變更後契約金額：新台幣</w:t>
      </w:r>
      <w:r>
        <w:rPr>
          <w:rStyle w:val="WW-"/>
          <w:rFonts w:eastAsia="Times New Roman"/>
          <w:sz w:val="28"/>
          <w:szCs w:val="28"/>
          <w:u w:val="single"/>
        </w:rPr>
        <w:t xml:space="preserve">              </w:t>
      </w:r>
      <w:r>
        <w:rPr>
          <w:rStyle w:val="WW-"/>
          <w:rFonts w:eastAsia="標楷體"/>
          <w:sz w:val="28"/>
          <w:szCs w:val="28"/>
        </w:rPr>
        <w:t>元</w:t>
      </w:r>
    </w:p>
    <w:p w:rsidR="000634FF" w:rsidRDefault="00AA135E">
      <w:pPr>
        <w:pStyle w:val="Textbody"/>
        <w:spacing w:line="480" w:lineRule="exact"/>
      </w:pPr>
      <w:r>
        <w:rPr>
          <w:rStyle w:val="WW-"/>
          <w:rFonts w:eastAsia="標楷體"/>
          <w:sz w:val="28"/>
          <w:szCs w:val="28"/>
        </w:rPr>
        <w:t>七、原契約工期：</w:t>
      </w:r>
      <w:r>
        <w:rPr>
          <w:rStyle w:val="WW-"/>
          <w:rFonts w:eastAsia="Times New Roman"/>
          <w:sz w:val="28"/>
          <w:szCs w:val="28"/>
          <w:u w:val="single"/>
        </w:rPr>
        <w:t xml:space="preserve">        </w:t>
      </w:r>
      <w:r>
        <w:rPr>
          <w:rStyle w:val="WW-"/>
          <w:rFonts w:eastAsia="標楷體"/>
          <w:sz w:val="28"/>
          <w:szCs w:val="28"/>
        </w:rPr>
        <w:t>日曆天</w:t>
      </w:r>
      <w:r>
        <w:rPr>
          <w:rStyle w:val="WW-"/>
          <w:rFonts w:eastAsia="標楷體"/>
          <w:sz w:val="28"/>
          <w:szCs w:val="28"/>
        </w:rPr>
        <w:t>/</w:t>
      </w:r>
      <w:r>
        <w:rPr>
          <w:rStyle w:val="WW-"/>
          <w:rFonts w:eastAsia="標楷體"/>
          <w:sz w:val="28"/>
          <w:szCs w:val="28"/>
        </w:rPr>
        <w:t>工作天</w:t>
      </w:r>
    </w:p>
    <w:p w:rsidR="000634FF" w:rsidRDefault="00AA135E">
      <w:pPr>
        <w:pStyle w:val="Textbody"/>
        <w:spacing w:line="480" w:lineRule="exact"/>
      </w:pPr>
      <w:r>
        <w:rPr>
          <w:rStyle w:val="WW-"/>
          <w:rFonts w:eastAsia="標楷體"/>
          <w:sz w:val="28"/>
          <w:szCs w:val="28"/>
        </w:rPr>
        <w:t>八、前次變更後契約工期：</w:t>
      </w:r>
      <w:r>
        <w:rPr>
          <w:rStyle w:val="WW-"/>
          <w:rFonts w:eastAsia="Times New Roman"/>
          <w:sz w:val="28"/>
          <w:szCs w:val="28"/>
          <w:u w:val="single"/>
        </w:rPr>
        <w:t xml:space="preserve">        </w:t>
      </w:r>
      <w:r>
        <w:rPr>
          <w:rStyle w:val="WW-"/>
          <w:rFonts w:eastAsia="標楷體"/>
          <w:sz w:val="28"/>
          <w:szCs w:val="28"/>
        </w:rPr>
        <w:t>日曆天</w:t>
      </w:r>
      <w:r>
        <w:rPr>
          <w:rStyle w:val="WW-"/>
          <w:rFonts w:eastAsia="標楷體"/>
          <w:sz w:val="28"/>
          <w:szCs w:val="28"/>
        </w:rPr>
        <w:t>/</w:t>
      </w:r>
      <w:r>
        <w:rPr>
          <w:rStyle w:val="WW-"/>
          <w:rFonts w:eastAsia="標楷體"/>
          <w:sz w:val="28"/>
          <w:szCs w:val="28"/>
        </w:rPr>
        <w:t>工作天</w:t>
      </w:r>
    </w:p>
    <w:p w:rsidR="000634FF" w:rsidRDefault="00AA135E">
      <w:pPr>
        <w:pStyle w:val="Textbody"/>
        <w:spacing w:line="480" w:lineRule="exact"/>
      </w:pPr>
      <w:r>
        <w:rPr>
          <w:rStyle w:val="WW-"/>
          <w:rFonts w:eastAsia="標楷體"/>
          <w:sz w:val="28"/>
          <w:szCs w:val="28"/>
        </w:rPr>
        <w:t>九、本次變更項目及緣由</w:t>
      </w:r>
      <w:r>
        <w:rPr>
          <w:rStyle w:val="WW-"/>
          <w:rFonts w:eastAsia="標楷體"/>
          <w:sz w:val="28"/>
          <w:szCs w:val="28"/>
        </w:rPr>
        <w:t>(</w:t>
      </w:r>
      <w:r>
        <w:rPr>
          <w:rStyle w:val="WW-"/>
          <w:rFonts w:eastAsia="標楷體"/>
          <w:sz w:val="28"/>
          <w:szCs w:val="28"/>
        </w:rPr>
        <w:t>或工程變更預算書</w:t>
      </w:r>
      <w:r>
        <w:rPr>
          <w:rStyle w:val="WW-"/>
          <w:rFonts w:eastAsia="標楷體"/>
          <w:sz w:val="28"/>
          <w:szCs w:val="28"/>
        </w:rPr>
        <w:t>)</w:t>
      </w:r>
      <w:r>
        <w:rPr>
          <w:rStyle w:val="WW-"/>
          <w:rFonts w:eastAsia="標楷體"/>
          <w:sz w:val="28"/>
          <w:szCs w:val="28"/>
        </w:rPr>
        <w:t>：</w:t>
      </w:r>
    </w:p>
    <w:tbl>
      <w:tblPr>
        <w:tblW w:w="9457" w:type="dxa"/>
        <w:tblInd w:w="-15" w:type="dxa"/>
        <w:tblLayout w:type="fixed"/>
        <w:tblCellMar>
          <w:left w:w="10" w:type="dxa"/>
          <w:right w:w="10" w:type="dxa"/>
        </w:tblCellMar>
        <w:tblLook w:val="0000" w:firstRow="0" w:lastRow="0" w:firstColumn="0" w:lastColumn="0" w:noHBand="0" w:noVBand="0"/>
      </w:tblPr>
      <w:tblGrid>
        <w:gridCol w:w="1555"/>
        <w:gridCol w:w="1259"/>
        <w:gridCol w:w="678"/>
        <w:gridCol w:w="1085"/>
        <w:gridCol w:w="1288"/>
        <w:gridCol w:w="1017"/>
        <w:gridCol w:w="1017"/>
        <w:gridCol w:w="1558"/>
      </w:tblGrid>
      <w:tr w:rsidR="000634FF">
        <w:tblPrEx>
          <w:tblCellMar>
            <w:top w:w="0" w:type="dxa"/>
            <w:bottom w:w="0" w:type="dxa"/>
          </w:tblCellMar>
        </w:tblPrEx>
        <w:trPr>
          <w:trHeight w:val="560"/>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原契約項目</w:t>
            </w:r>
            <w:r>
              <w:rPr>
                <w:rStyle w:val="WW-"/>
                <w:rFonts w:eastAsia="標楷體"/>
                <w:sz w:val="20"/>
                <w:szCs w:val="20"/>
              </w:rPr>
              <w:t>/</w:t>
            </w:r>
            <w:r>
              <w:rPr>
                <w:rStyle w:val="WW-"/>
                <w:rFonts w:eastAsia="標楷體"/>
                <w:sz w:val="20"/>
                <w:szCs w:val="20"/>
              </w:rPr>
              <w:t>新增契約項目</w:t>
            </w: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變更項目</w:t>
            </w: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pPr>
            <w:r>
              <w:rPr>
                <w:rStyle w:val="WW-"/>
                <w:rFonts w:eastAsia="標楷體"/>
                <w:sz w:val="20"/>
                <w:szCs w:val="20"/>
              </w:rPr>
              <w:t>單位</w:t>
            </w: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契約數量</w:t>
            </w: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變更後數量</w:t>
            </w: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增加數量</w:t>
            </w: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減少數量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4FF" w:rsidRDefault="00AA135E">
            <w:pPr>
              <w:pStyle w:val="Textbody"/>
              <w:spacing w:line="300" w:lineRule="exact"/>
            </w:pPr>
            <w:r>
              <w:rPr>
                <w:rStyle w:val="WW-"/>
                <w:rFonts w:eastAsia="標楷體"/>
                <w:sz w:val="20"/>
                <w:szCs w:val="20"/>
              </w:rPr>
              <w:t>變更緣由</w:t>
            </w:r>
          </w:p>
        </w:tc>
      </w:tr>
      <w:tr w:rsidR="000634FF">
        <w:tblPrEx>
          <w:tblCellMar>
            <w:top w:w="0" w:type="dxa"/>
            <w:bottom w:w="0" w:type="dxa"/>
          </w:tblCellMar>
        </w:tblPrEx>
        <w:trPr>
          <w:trHeight w:val="412"/>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391"/>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384"/>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389"/>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395"/>
        </w:trPr>
        <w:tc>
          <w:tcPr>
            <w:tcW w:w="1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6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2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bl>
    <w:p w:rsidR="000634FF" w:rsidRDefault="00AA135E">
      <w:pPr>
        <w:pStyle w:val="Textbody"/>
        <w:spacing w:line="600" w:lineRule="exact"/>
      </w:pPr>
      <w:r>
        <w:rPr>
          <w:rStyle w:val="WW-"/>
          <w:rFonts w:eastAsia="標楷體"/>
          <w:sz w:val="28"/>
          <w:szCs w:val="28"/>
        </w:rPr>
        <w:t>十、變更部分累計金額：（</w:t>
      </w:r>
      <w:r>
        <w:rPr>
          <w:rStyle w:val="WW-"/>
          <w:rFonts w:ascii="標楷體" w:eastAsia="標楷體" w:hAnsi="標楷體" w:cs="標楷體"/>
          <w:sz w:val="28"/>
          <w:szCs w:val="28"/>
        </w:rPr>
        <w:t>歷次變更</w:t>
      </w:r>
      <w:r>
        <w:rPr>
          <w:rStyle w:val="WW-"/>
          <w:rFonts w:eastAsia="標楷體"/>
          <w:sz w:val="28"/>
          <w:szCs w:val="28"/>
        </w:rPr>
        <w:t>直接工程費加減帳金額</w:t>
      </w:r>
      <w:r>
        <w:rPr>
          <w:rStyle w:val="WW-"/>
          <w:rFonts w:ascii="標楷體" w:eastAsia="標楷體" w:hAnsi="標楷體" w:cs="標楷體"/>
          <w:sz w:val="28"/>
          <w:szCs w:val="28"/>
        </w:rPr>
        <w:t>均須列出</w:t>
      </w:r>
      <w:r>
        <w:rPr>
          <w:rStyle w:val="WW-"/>
          <w:rFonts w:eastAsia="標楷體"/>
          <w:sz w:val="28"/>
          <w:szCs w:val="28"/>
        </w:rPr>
        <w:t>）</w:t>
      </w:r>
    </w:p>
    <w:tbl>
      <w:tblPr>
        <w:tblW w:w="9478" w:type="dxa"/>
        <w:tblInd w:w="-15" w:type="dxa"/>
        <w:tblLayout w:type="fixed"/>
        <w:tblCellMar>
          <w:left w:w="10" w:type="dxa"/>
          <w:right w:w="10" w:type="dxa"/>
        </w:tblCellMar>
        <w:tblLook w:val="0000" w:firstRow="0" w:lastRow="0" w:firstColumn="0" w:lastColumn="0" w:noHBand="0" w:noVBand="0"/>
      </w:tblPr>
      <w:tblGrid>
        <w:gridCol w:w="2367"/>
        <w:gridCol w:w="2367"/>
        <w:gridCol w:w="2367"/>
        <w:gridCol w:w="2377"/>
      </w:tblGrid>
      <w:tr w:rsidR="000634FF">
        <w:tblPrEx>
          <w:tblCellMar>
            <w:top w:w="0" w:type="dxa"/>
            <w:bottom w:w="0" w:type="dxa"/>
          </w:tblCellMar>
        </w:tblPrEx>
        <w:trPr>
          <w:trHeight w:val="510"/>
        </w:trPr>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center"/>
            </w:pPr>
            <w:r>
              <w:rPr>
                <w:rStyle w:val="WW-"/>
                <w:rFonts w:eastAsia="標楷體"/>
                <w:sz w:val="20"/>
                <w:szCs w:val="20"/>
              </w:rPr>
              <w:t>歷次變更次數</w:t>
            </w: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center"/>
            </w:pPr>
            <w:r>
              <w:rPr>
                <w:rStyle w:val="WW-"/>
                <w:rFonts w:eastAsia="標楷體"/>
                <w:sz w:val="20"/>
                <w:szCs w:val="20"/>
              </w:rPr>
              <w:t>加帳金額</w:t>
            </w: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center"/>
            </w:pPr>
            <w:r>
              <w:rPr>
                <w:rStyle w:val="WW-"/>
                <w:rFonts w:eastAsia="標楷體"/>
                <w:sz w:val="20"/>
                <w:szCs w:val="20"/>
              </w:rPr>
              <w:t>減帳金額絕對值</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center"/>
            </w:pPr>
            <w:r>
              <w:rPr>
                <w:rStyle w:val="WW-"/>
                <w:rFonts w:eastAsia="標楷體"/>
                <w:sz w:val="20"/>
                <w:szCs w:val="20"/>
              </w:rPr>
              <w:t>合計金額</w:t>
            </w:r>
          </w:p>
        </w:tc>
      </w:tr>
      <w:tr w:rsidR="000634FF">
        <w:tblPrEx>
          <w:tblCellMar>
            <w:top w:w="0" w:type="dxa"/>
            <w:bottom w:w="0" w:type="dxa"/>
          </w:tblCellMar>
        </w:tblPrEx>
        <w:trPr>
          <w:trHeight w:val="417"/>
        </w:trPr>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pPr>
            <w:r>
              <w:rPr>
                <w:rStyle w:val="WW-"/>
                <w:rFonts w:eastAsia="標楷體"/>
                <w:sz w:val="20"/>
                <w:szCs w:val="20"/>
              </w:rPr>
              <w:t>第一次變更設計</w:t>
            </w: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409"/>
        </w:trPr>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pPr>
            <w:r>
              <w:rPr>
                <w:rStyle w:val="WW-"/>
                <w:rFonts w:eastAsia="標楷體"/>
                <w:sz w:val="20"/>
                <w:szCs w:val="20"/>
              </w:rPr>
              <w:t>第二次變更設計</w:t>
            </w: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415"/>
        </w:trPr>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pPr>
            <w:r>
              <w:rPr>
                <w:rStyle w:val="WW-"/>
                <w:rFonts w:eastAsia="標楷體"/>
                <w:sz w:val="20"/>
                <w:szCs w:val="20"/>
              </w:rPr>
              <w:t>……</w:t>
            </w: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422"/>
        </w:trPr>
        <w:tc>
          <w:tcPr>
            <w:tcW w:w="710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right"/>
            </w:pPr>
            <w:r>
              <w:rPr>
                <w:rStyle w:val="WW-"/>
                <w:rFonts w:eastAsia="標楷體"/>
                <w:sz w:val="20"/>
                <w:szCs w:val="20"/>
              </w:rPr>
              <w:t>變更部分累計金額</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413"/>
        </w:trPr>
        <w:tc>
          <w:tcPr>
            <w:tcW w:w="710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right"/>
            </w:pPr>
            <w:r>
              <w:rPr>
                <w:rStyle w:val="WW-"/>
                <w:rFonts w:eastAsia="標楷體"/>
                <w:sz w:val="20"/>
                <w:szCs w:val="20"/>
              </w:rPr>
              <w:t>原契約直接工程費</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r w:rsidR="000634FF">
        <w:tblPrEx>
          <w:tblCellMar>
            <w:top w:w="0" w:type="dxa"/>
            <w:bottom w:w="0" w:type="dxa"/>
          </w:tblCellMar>
        </w:tblPrEx>
        <w:trPr>
          <w:trHeight w:val="419"/>
        </w:trPr>
        <w:tc>
          <w:tcPr>
            <w:tcW w:w="710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34FF" w:rsidRDefault="00AA135E">
            <w:pPr>
              <w:pStyle w:val="Textbody"/>
              <w:spacing w:line="300" w:lineRule="exact"/>
              <w:jc w:val="right"/>
            </w:pPr>
            <w:r>
              <w:rPr>
                <w:rStyle w:val="WW-"/>
                <w:rFonts w:eastAsia="標楷體"/>
                <w:sz w:val="20"/>
                <w:szCs w:val="20"/>
              </w:rPr>
              <w:t>變更部分累計金額＋原契約直接工程費</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FF" w:rsidRDefault="000634FF">
            <w:pPr>
              <w:pStyle w:val="Textbody"/>
              <w:snapToGrid w:val="0"/>
              <w:spacing w:line="300" w:lineRule="exact"/>
            </w:pPr>
          </w:p>
        </w:tc>
      </w:tr>
    </w:tbl>
    <w:p w:rsidR="000634FF" w:rsidRDefault="00AA135E">
      <w:pPr>
        <w:pStyle w:val="Textbody"/>
        <w:spacing w:line="480" w:lineRule="exact"/>
      </w:pPr>
      <w:r>
        <w:rPr>
          <w:rStyle w:val="WW-"/>
          <w:rFonts w:eastAsia="標楷體"/>
          <w:sz w:val="28"/>
          <w:szCs w:val="28"/>
        </w:rPr>
        <w:t>十一、本次變更總增</w:t>
      </w:r>
      <w:r>
        <w:rPr>
          <w:rStyle w:val="WW-"/>
          <w:rFonts w:eastAsia="標楷體"/>
          <w:sz w:val="28"/>
          <w:szCs w:val="28"/>
        </w:rPr>
        <w:t>/</w:t>
      </w:r>
      <w:r>
        <w:rPr>
          <w:rStyle w:val="WW-"/>
          <w:rFonts w:eastAsia="標楷體"/>
          <w:sz w:val="28"/>
          <w:szCs w:val="28"/>
        </w:rPr>
        <w:t>減金額：新臺幣</w:t>
      </w:r>
      <w:r>
        <w:rPr>
          <w:rStyle w:val="WW-"/>
          <w:rFonts w:eastAsia="Times New Roman"/>
          <w:sz w:val="28"/>
          <w:szCs w:val="28"/>
          <w:u w:val="single"/>
        </w:rPr>
        <w:t xml:space="preserve">              </w:t>
      </w:r>
      <w:r>
        <w:rPr>
          <w:rStyle w:val="WW-"/>
          <w:rFonts w:eastAsia="標楷體"/>
          <w:sz w:val="28"/>
          <w:szCs w:val="28"/>
        </w:rPr>
        <w:t>元；</w:t>
      </w:r>
      <w:r>
        <w:rPr>
          <w:rStyle w:val="WW-"/>
          <w:rFonts w:eastAsia="Times New Roman"/>
          <w:sz w:val="28"/>
          <w:szCs w:val="28"/>
        </w:rPr>
        <w:t xml:space="preserve">             </w:t>
      </w:r>
    </w:p>
    <w:p w:rsidR="000634FF" w:rsidRDefault="00AA135E">
      <w:pPr>
        <w:pStyle w:val="Textbody"/>
        <w:spacing w:line="480" w:lineRule="exact"/>
      </w:pPr>
      <w:r>
        <w:rPr>
          <w:rStyle w:val="WW-"/>
          <w:rFonts w:eastAsia="Times New Roman"/>
          <w:sz w:val="28"/>
          <w:szCs w:val="28"/>
        </w:rPr>
        <w:t xml:space="preserve">      </w:t>
      </w:r>
      <w:r>
        <w:rPr>
          <w:rStyle w:val="WW-"/>
          <w:rFonts w:eastAsia="標楷體"/>
          <w:sz w:val="28"/>
          <w:szCs w:val="28"/>
        </w:rPr>
        <w:t>經費來源：</w:t>
      </w:r>
      <w:r>
        <w:rPr>
          <w:rStyle w:val="WW-"/>
          <w:rFonts w:eastAsia="Times New Roman"/>
          <w:sz w:val="28"/>
          <w:szCs w:val="28"/>
          <w:u w:val="single"/>
        </w:rPr>
        <w:t xml:space="preserve">                                 </w:t>
      </w:r>
      <w:r>
        <w:rPr>
          <w:rStyle w:val="WW-"/>
          <w:rFonts w:eastAsia="標楷體"/>
          <w:sz w:val="28"/>
          <w:szCs w:val="28"/>
          <w:u w:val="single"/>
        </w:rPr>
        <w:t>。</w:t>
      </w:r>
    </w:p>
    <w:p w:rsidR="000634FF" w:rsidRDefault="00AA135E">
      <w:pPr>
        <w:pStyle w:val="Textbody"/>
        <w:spacing w:line="480" w:lineRule="exact"/>
      </w:pPr>
      <w:r>
        <w:rPr>
          <w:rStyle w:val="WW-"/>
          <w:rFonts w:eastAsia="標楷體"/>
          <w:sz w:val="28"/>
          <w:szCs w:val="28"/>
        </w:rPr>
        <w:t>十二、追加</w:t>
      </w:r>
      <w:r>
        <w:rPr>
          <w:rStyle w:val="WW-"/>
          <w:rFonts w:eastAsia="標楷體"/>
          <w:sz w:val="28"/>
          <w:szCs w:val="28"/>
        </w:rPr>
        <w:t>/</w:t>
      </w:r>
      <w:r>
        <w:rPr>
          <w:rStyle w:val="WW-"/>
          <w:rFonts w:eastAsia="標楷體"/>
          <w:sz w:val="28"/>
          <w:szCs w:val="28"/>
        </w:rPr>
        <w:t>減工期說明：</w:t>
      </w:r>
    </w:p>
    <w:p w:rsidR="000634FF" w:rsidRDefault="00AA135E">
      <w:pPr>
        <w:pStyle w:val="Textbody"/>
        <w:spacing w:line="480" w:lineRule="exact"/>
      </w:pPr>
      <w:r>
        <w:rPr>
          <w:rStyle w:val="WW-"/>
          <w:rFonts w:eastAsia="標楷體"/>
          <w:sz w:val="28"/>
          <w:szCs w:val="28"/>
        </w:rPr>
        <w:t>十三、不計工期說明</w:t>
      </w:r>
      <w:r>
        <w:rPr>
          <w:rStyle w:val="WW-"/>
          <w:rFonts w:ascii="標楷體" w:eastAsia="標楷體" w:hAnsi="標楷體" w:cs="標楷體"/>
          <w:sz w:val="28"/>
          <w:szCs w:val="28"/>
        </w:rPr>
        <w:t>：</w:t>
      </w:r>
    </w:p>
    <w:p w:rsidR="000634FF" w:rsidRDefault="00AA135E">
      <w:pPr>
        <w:pStyle w:val="Textbody"/>
        <w:spacing w:line="480" w:lineRule="exact"/>
      </w:pPr>
      <w:r>
        <w:rPr>
          <w:rStyle w:val="WW-"/>
          <w:rFonts w:eastAsia="標楷體"/>
          <w:sz w:val="28"/>
          <w:szCs w:val="28"/>
        </w:rPr>
        <w:t>十四、相關附件：</w:t>
      </w:r>
    </w:p>
    <w:sectPr w:rsidR="000634FF">
      <w:footerReference w:type="default" r:id="rId7"/>
      <w:pgSz w:w="11906" w:h="16838"/>
      <w:pgMar w:top="1418" w:right="1418" w:bottom="1418" w:left="1701" w:header="720" w:footer="992" w:gutter="0"/>
      <w:cols w:space="720"/>
      <w:docGrid w:type="lines" w:linePitch="6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5E" w:rsidRDefault="00AA135E">
      <w:r>
        <w:separator/>
      </w:r>
    </w:p>
  </w:endnote>
  <w:endnote w:type="continuationSeparator" w:id="0">
    <w:p w:rsidR="00AA135E" w:rsidRDefault="00AA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2F" w:rsidRDefault="00AA135E">
    <w:pPr>
      <w:pStyle w:val="a5"/>
      <w:jc w:val="center"/>
    </w:pPr>
    <w:r>
      <w:rPr>
        <w:rStyle w:val="WW-"/>
        <w:lang w:val="zh-TW"/>
      </w:rPr>
      <w:fldChar w:fldCharType="begin"/>
    </w:r>
    <w:r>
      <w:rPr>
        <w:rStyle w:val="WW-"/>
        <w:lang w:val="zh-TW"/>
      </w:rPr>
      <w:instrText xml:space="preserve"> PAGE </w:instrText>
    </w:r>
    <w:r>
      <w:rPr>
        <w:rStyle w:val="WW-"/>
        <w:lang w:val="zh-TW"/>
      </w:rPr>
      <w:fldChar w:fldCharType="separate"/>
    </w:r>
    <w:r w:rsidR="008B54AF">
      <w:rPr>
        <w:rStyle w:val="WW-"/>
        <w:noProof/>
        <w:lang w:val="zh-TW"/>
      </w:rPr>
      <w:t>2</w:t>
    </w:r>
    <w:r>
      <w:rPr>
        <w:rStyle w:val="WW-"/>
        <w:lang w:val="zh-TW"/>
      </w:rPr>
      <w:fldChar w:fldCharType="end"/>
    </w:r>
  </w:p>
  <w:p w:rsidR="002A352F" w:rsidRDefault="00AA13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5E" w:rsidRDefault="00AA135E">
      <w:r>
        <w:rPr>
          <w:color w:val="000000"/>
        </w:rPr>
        <w:separator/>
      </w:r>
    </w:p>
  </w:footnote>
  <w:footnote w:type="continuationSeparator" w:id="0">
    <w:p w:rsidR="00AA135E" w:rsidRDefault="00AA1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4FF"/>
    <w:rsid w:val="000634FF"/>
    <w:rsid w:val="008B54AF"/>
    <w:rsid w:val="00AA1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Calibri" w:eastAsia="新細明體, PMingLiU" w:hAnsi="Calibri" w:cs="Calibri"/>
      <w:sz w:val="20"/>
      <w:szCs w:val="20"/>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pPr>
      <w:suppressAutoHyphens/>
    </w:pPr>
    <w:rPr>
      <w:rFonts w:ascii="Times New Roman" w:eastAsia="新細明體, PMingLiU" w:hAnsi="Times New Roman" w:cs="Times New Roman"/>
      <w:lang w:eastAsia="zh-TW" w:bidi="ar-SA"/>
    </w:r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 w:val="24"/>
      <w:szCs w:val="24"/>
    </w:rPr>
  </w:style>
  <w:style w:type="paragraph" w:customStyle="1" w:styleId="Index">
    <w:name w:val="Index"/>
    <w:basedOn w:val="Standard"/>
    <w:pPr>
      <w:suppressLineNumbers/>
    </w:pPr>
    <w:rPr>
      <w:rFonts w:cs="Noto Sans Devanagari UI"/>
      <w:sz w:val="24"/>
    </w:r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pPr>
      <w:spacing w:line="300" w:lineRule="exact"/>
    </w:pPr>
    <w:rPr>
      <w:rFonts w:eastAsia="標楷體"/>
      <w:sz w:val="20"/>
    </w:rPr>
  </w:style>
  <w:style w:type="paragraph" w:styleId="a7">
    <w:name w:val="head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styleId="aa">
    <w:name w:val="Balloon Text"/>
    <w:basedOn w:val="Textbody"/>
    <w:rPr>
      <w:rFonts w:ascii="Calibri Light" w:eastAsia="Calibri Light" w:hAnsi="Calibri Light" w:cs="Calibri Light"/>
      <w:sz w:val="18"/>
      <w:szCs w:val="18"/>
    </w:rPr>
  </w:style>
  <w:style w:type="paragraph" w:customStyle="1" w:styleId="ab">
    <w:name w:val="框架內容"/>
    <w:basedOn w:val="Standard"/>
  </w:style>
  <w:style w:type="paragraph" w:customStyle="1" w:styleId="ac">
    <w:name w:val="表格內容"/>
    <w:basedOn w:val="Standard"/>
    <w:pPr>
      <w:suppressLineNumber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
    <w:name w:val="WW-預設段落字型"/>
  </w:style>
  <w:style w:type="character" w:customStyle="1" w:styleId="ad">
    <w:name w:val="頁尾 字元"/>
    <w:rPr>
      <w:rFonts w:ascii="Times New Roman" w:eastAsia="新細明體, PMingLiU" w:hAnsi="Times New Roman" w:cs="Times New Roman"/>
      <w:sz w:val="20"/>
      <w:szCs w:val="20"/>
    </w:rPr>
  </w:style>
  <w:style w:type="character" w:customStyle="1" w:styleId="ae">
    <w:name w:val="本文 字元"/>
    <w:rPr>
      <w:rFonts w:ascii="Times New Roman" w:eastAsia="標楷體" w:hAnsi="Times New Roman" w:cs="Times New Roman"/>
      <w:sz w:val="20"/>
      <w:szCs w:val="24"/>
    </w:rPr>
  </w:style>
  <w:style w:type="character" w:customStyle="1" w:styleId="af">
    <w:name w:val="頁首 字元"/>
    <w:rPr>
      <w:rFonts w:ascii="Times New Roman" w:eastAsia="新細明體, PMingLiU" w:hAnsi="Times New Roman" w:cs="Times New Roman"/>
      <w:sz w:val="20"/>
      <w:szCs w:val="20"/>
    </w:rPr>
  </w:style>
  <w:style w:type="character" w:styleId="af0">
    <w:name w:val="annotation reference"/>
    <w:rPr>
      <w:sz w:val="18"/>
      <w:szCs w:val="18"/>
    </w:rPr>
  </w:style>
  <w:style w:type="character" w:customStyle="1" w:styleId="af1">
    <w:name w:val="註解文字 字元"/>
    <w:rPr>
      <w:rFonts w:ascii="Times New Roman" w:eastAsia="新細明體, PMingLiU" w:hAnsi="Times New Roman" w:cs="Times New Roman"/>
      <w:szCs w:val="24"/>
    </w:rPr>
  </w:style>
  <w:style w:type="character" w:customStyle="1" w:styleId="af2">
    <w:name w:val="註解主旨 字元"/>
    <w:rPr>
      <w:rFonts w:ascii="Times New Roman" w:eastAsia="新細明體, PMingLiU" w:hAnsi="Times New Roman" w:cs="Times New Roman"/>
      <w:b/>
      <w:bCs/>
      <w:szCs w:val="24"/>
    </w:rPr>
  </w:style>
  <w:style w:type="character" w:customStyle="1" w:styleId="af3">
    <w:name w:val="註解方塊文字 字元"/>
    <w:rPr>
      <w:rFonts w:ascii="Calibri Light" w:eastAsia="新細明體, PMingLiU"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Calibri" w:eastAsia="新細明體, PMingLiU" w:hAnsi="Calibri" w:cs="Calibri"/>
      <w:sz w:val="20"/>
      <w:szCs w:val="20"/>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pPr>
      <w:suppressAutoHyphens/>
    </w:pPr>
    <w:rPr>
      <w:rFonts w:ascii="Times New Roman" w:eastAsia="新細明體, PMingLiU" w:hAnsi="Times New Roman" w:cs="Times New Roman"/>
      <w:lang w:eastAsia="zh-TW" w:bidi="ar-SA"/>
    </w:r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 w:val="24"/>
      <w:szCs w:val="24"/>
    </w:rPr>
  </w:style>
  <w:style w:type="paragraph" w:customStyle="1" w:styleId="Index">
    <w:name w:val="Index"/>
    <w:basedOn w:val="Standard"/>
    <w:pPr>
      <w:suppressLineNumbers/>
    </w:pPr>
    <w:rPr>
      <w:rFonts w:cs="Noto Sans Devanagari UI"/>
      <w:sz w:val="24"/>
    </w:r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pPr>
      <w:spacing w:line="300" w:lineRule="exact"/>
    </w:pPr>
    <w:rPr>
      <w:rFonts w:eastAsia="標楷體"/>
      <w:sz w:val="20"/>
    </w:rPr>
  </w:style>
  <w:style w:type="paragraph" w:styleId="a7">
    <w:name w:val="head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styleId="aa">
    <w:name w:val="Balloon Text"/>
    <w:basedOn w:val="Textbody"/>
    <w:rPr>
      <w:rFonts w:ascii="Calibri Light" w:eastAsia="Calibri Light" w:hAnsi="Calibri Light" w:cs="Calibri Light"/>
      <w:sz w:val="18"/>
      <w:szCs w:val="18"/>
    </w:rPr>
  </w:style>
  <w:style w:type="paragraph" w:customStyle="1" w:styleId="ab">
    <w:name w:val="框架內容"/>
    <w:basedOn w:val="Standard"/>
  </w:style>
  <w:style w:type="paragraph" w:customStyle="1" w:styleId="ac">
    <w:name w:val="表格內容"/>
    <w:basedOn w:val="Standard"/>
    <w:pPr>
      <w:suppressLineNumber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
    <w:name w:val="WW-預設段落字型"/>
  </w:style>
  <w:style w:type="character" w:customStyle="1" w:styleId="ad">
    <w:name w:val="頁尾 字元"/>
    <w:rPr>
      <w:rFonts w:ascii="Times New Roman" w:eastAsia="新細明體, PMingLiU" w:hAnsi="Times New Roman" w:cs="Times New Roman"/>
      <w:sz w:val="20"/>
      <w:szCs w:val="20"/>
    </w:rPr>
  </w:style>
  <w:style w:type="character" w:customStyle="1" w:styleId="ae">
    <w:name w:val="本文 字元"/>
    <w:rPr>
      <w:rFonts w:ascii="Times New Roman" w:eastAsia="標楷體" w:hAnsi="Times New Roman" w:cs="Times New Roman"/>
      <w:sz w:val="20"/>
      <w:szCs w:val="24"/>
    </w:rPr>
  </w:style>
  <w:style w:type="character" w:customStyle="1" w:styleId="af">
    <w:name w:val="頁首 字元"/>
    <w:rPr>
      <w:rFonts w:ascii="Times New Roman" w:eastAsia="新細明體, PMingLiU" w:hAnsi="Times New Roman" w:cs="Times New Roman"/>
      <w:sz w:val="20"/>
      <w:szCs w:val="20"/>
    </w:rPr>
  </w:style>
  <w:style w:type="character" w:styleId="af0">
    <w:name w:val="annotation reference"/>
    <w:rPr>
      <w:sz w:val="18"/>
      <w:szCs w:val="18"/>
    </w:rPr>
  </w:style>
  <w:style w:type="character" w:customStyle="1" w:styleId="af1">
    <w:name w:val="註解文字 字元"/>
    <w:rPr>
      <w:rFonts w:ascii="Times New Roman" w:eastAsia="新細明體, PMingLiU" w:hAnsi="Times New Roman" w:cs="Times New Roman"/>
      <w:szCs w:val="24"/>
    </w:rPr>
  </w:style>
  <w:style w:type="character" w:customStyle="1" w:styleId="af2">
    <w:name w:val="註解主旨 字元"/>
    <w:rPr>
      <w:rFonts w:ascii="Times New Roman" w:eastAsia="新細明體, PMingLiU" w:hAnsi="Times New Roman" w:cs="Times New Roman"/>
      <w:b/>
      <w:bCs/>
      <w:szCs w:val="24"/>
    </w:rPr>
  </w:style>
  <w:style w:type="character" w:customStyle="1" w:styleId="af3">
    <w:name w:val="註解方塊文字 字元"/>
    <w:rPr>
      <w:rFonts w:ascii="Calibri Light" w:eastAsia="新細明體, PMingLiU"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ASUS-NB</dc:creator>
  <cp:lastModifiedBy>賴詩芸</cp:lastModifiedBy>
  <cp:revision>2</cp:revision>
  <cp:lastPrinted>2019-04-18T02:32:00Z</cp:lastPrinted>
  <dcterms:created xsi:type="dcterms:W3CDTF">2026-03-10T07:02:00Z</dcterms:created>
  <dcterms:modified xsi:type="dcterms:W3CDTF">2026-03-10T07:02:00Z</dcterms:modified>
</cp:coreProperties>
</file>