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CellMar>
          <w:left w:w="10" w:type="dxa"/>
          <w:right w:w="10" w:type="dxa"/>
        </w:tblCellMar>
        <w:tblLook w:val="0000" w:firstRow="0" w:lastRow="0" w:firstColumn="0" w:lastColumn="0" w:noHBand="0" w:noVBand="0"/>
      </w:tblPr>
      <w:tblGrid>
        <w:gridCol w:w="577"/>
        <w:gridCol w:w="6550"/>
        <w:gridCol w:w="598"/>
        <w:gridCol w:w="598"/>
        <w:gridCol w:w="859"/>
        <w:gridCol w:w="1028"/>
      </w:tblGrid>
      <w:tr w:rsidR="00822895">
        <w:tblPrEx>
          <w:tblCellMar>
            <w:top w:w="0" w:type="dxa"/>
            <w:bottom w:w="0" w:type="dxa"/>
          </w:tblCellMar>
        </w:tblPrEx>
        <w:trPr>
          <w:cantSplit/>
          <w:trHeight w:val="463"/>
          <w:jc w:val="center"/>
        </w:trPr>
        <w:tc>
          <w:tcPr>
            <w:tcW w:w="10210" w:type="dxa"/>
            <w:gridSpan w:val="6"/>
            <w:shd w:val="clear" w:color="auto" w:fill="auto"/>
            <w:tcMar>
              <w:top w:w="0" w:type="dxa"/>
              <w:left w:w="28" w:type="dxa"/>
              <w:bottom w:w="0" w:type="dxa"/>
              <w:right w:w="28" w:type="dxa"/>
            </w:tcMar>
            <w:vAlign w:val="center"/>
          </w:tcPr>
          <w:p w:rsidR="00822895" w:rsidRDefault="00A730EE">
            <w:pPr>
              <w:snapToGrid w:val="0"/>
              <w:spacing w:line="380" w:lineRule="exact"/>
              <w:jc w:val="center"/>
            </w:pPr>
            <w:bookmarkStart w:id="0" w:name="_GoBack"/>
            <w:bookmarkEnd w:id="0"/>
            <w:r>
              <w:rPr>
                <w:rFonts w:eastAsia="標楷體"/>
                <w:sz w:val="36"/>
              </w:rPr>
              <w:t>機關辦理保險事項檢核表</w:t>
            </w:r>
          </w:p>
        </w:tc>
      </w:tr>
      <w:tr w:rsidR="00822895">
        <w:tblPrEx>
          <w:tblCellMar>
            <w:top w:w="0" w:type="dxa"/>
            <w:bottom w:w="0" w:type="dxa"/>
          </w:tblCellMar>
        </w:tblPrEx>
        <w:trPr>
          <w:cantSplit/>
          <w:trHeight w:val="80"/>
          <w:jc w:val="center"/>
        </w:trPr>
        <w:tc>
          <w:tcPr>
            <w:tcW w:w="10210" w:type="dxa"/>
            <w:gridSpan w:val="6"/>
            <w:shd w:val="clear" w:color="auto" w:fill="auto"/>
            <w:tcMar>
              <w:top w:w="0" w:type="dxa"/>
              <w:left w:w="28" w:type="dxa"/>
              <w:bottom w:w="0" w:type="dxa"/>
              <w:right w:w="28" w:type="dxa"/>
            </w:tcMar>
            <w:vAlign w:val="center"/>
          </w:tcPr>
          <w:p w:rsidR="00822895" w:rsidRDefault="00A730EE">
            <w:pPr>
              <w:snapToGrid w:val="0"/>
              <w:spacing w:line="380" w:lineRule="exact"/>
              <w:jc w:val="right"/>
            </w:pPr>
            <w:r>
              <w:rPr>
                <w:rFonts w:eastAsia="標楷體"/>
                <w:sz w:val="16"/>
                <w:szCs w:val="16"/>
              </w:rPr>
              <w:t>111</w:t>
            </w:r>
            <w:r>
              <w:rPr>
                <w:rFonts w:eastAsia="標楷體"/>
                <w:sz w:val="16"/>
                <w:szCs w:val="16"/>
              </w:rPr>
              <w:t>年</w:t>
            </w:r>
            <w:r>
              <w:rPr>
                <w:rFonts w:eastAsia="標楷體"/>
                <w:sz w:val="16"/>
                <w:szCs w:val="16"/>
              </w:rPr>
              <w:t>4</w:t>
            </w:r>
            <w:r>
              <w:rPr>
                <w:rFonts w:eastAsia="標楷體"/>
                <w:sz w:val="16"/>
                <w:szCs w:val="16"/>
              </w:rPr>
              <w:t>月</w:t>
            </w:r>
            <w:r>
              <w:rPr>
                <w:rFonts w:eastAsia="標楷體"/>
                <w:sz w:val="16"/>
                <w:szCs w:val="16"/>
              </w:rPr>
              <w:t>6</w:t>
            </w:r>
            <w:r>
              <w:rPr>
                <w:rFonts w:eastAsia="標楷體"/>
                <w:sz w:val="16"/>
                <w:szCs w:val="16"/>
              </w:rPr>
              <w:t>日修正版</w:t>
            </w:r>
          </w:p>
        </w:tc>
      </w:tr>
      <w:tr w:rsidR="00822895">
        <w:tblPrEx>
          <w:tblCellMar>
            <w:top w:w="0" w:type="dxa"/>
            <w:bottom w:w="0" w:type="dxa"/>
          </w:tblCellMar>
        </w:tblPrEx>
        <w:trPr>
          <w:cantSplit/>
          <w:trHeight w:val="427"/>
          <w:jc w:val="center"/>
        </w:trPr>
        <w:tc>
          <w:tcPr>
            <w:tcW w:w="10210" w:type="dxa"/>
            <w:gridSpan w:val="6"/>
            <w:shd w:val="clear" w:color="auto" w:fill="auto"/>
            <w:tcMar>
              <w:top w:w="0" w:type="dxa"/>
              <w:left w:w="28" w:type="dxa"/>
              <w:bottom w:w="0" w:type="dxa"/>
              <w:right w:w="28" w:type="dxa"/>
            </w:tcMar>
            <w:vAlign w:val="center"/>
          </w:tcPr>
          <w:p w:rsidR="00822895" w:rsidRDefault="00A730EE">
            <w:pPr>
              <w:snapToGrid w:val="0"/>
              <w:spacing w:line="320" w:lineRule="exact"/>
              <w:jc w:val="both"/>
            </w:pPr>
            <w:r>
              <w:rPr>
                <w:rFonts w:eastAsia="標楷體"/>
                <w:sz w:val="32"/>
              </w:rPr>
              <w:t>標案名稱：</w:t>
            </w:r>
            <w:r>
              <w:rPr>
                <w:rFonts w:eastAsia="標楷體"/>
                <w:sz w:val="32"/>
                <w:u w:val="single"/>
              </w:rPr>
              <w:t xml:space="preserve">　　　　　　　　　　　　　　　　　　　　　</w:t>
            </w:r>
            <w:r>
              <w:rPr>
                <w:rFonts w:eastAsia="標楷體"/>
                <w:sz w:val="32"/>
                <w:u w:val="single"/>
              </w:rPr>
              <w:t xml:space="preserve">     </w:t>
            </w:r>
            <w:r>
              <w:rPr>
                <w:rFonts w:eastAsia="標楷體"/>
                <w:sz w:val="32"/>
                <w:u w:val="single"/>
              </w:rPr>
              <w:t xml:space="preserve">　　　</w:t>
            </w:r>
          </w:p>
        </w:tc>
      </w:tr>
      <w:tr w:rsidR="00822895">
        <w:tblPrEx>
          <w:tblCellMar>
            <w:top w:w="0" w:type="dxa"/>
            <w:bottom w:w="0" w:type="dxa"/>
          </w:tblCellMar>
        </w:tblPrEx>
        <w:trPr>
          <w:cantSplit/>
          <w:trHeight w:val="427"/>
          <w:jc w:val="center"/>
        </w:trPr>
        <w:tc>
          <w:tcPr>
            <w:tcW w:w="10210" w:type="dxa"/>
            <w:gridSpan w:val="6"/>
            <w:shd w:val="clear" w:color="auto" w:fill="auto"/>
            <w:tcMar>
              <w:top w:w="0" w:type="dxa"/>
              <w:left w:w="28" w:type="dxa"/>
              <w:bottom w:w="0" w:type="dxa"/>
              <w:right w:w="28" w:type="dxa"/>
            </w:tcMar>
            <w:vAlign w:val="center"/>
          </w:tcPr>
          <w:p w:rsidR="00822895" w:rsidRDefault="00A730EE">
            <w:pPr>
              <w:snapToGrid w:val="0"/>
              <w:spacing w:line="320" w:lineRule="exact"/>
              <w:jc w:val="both"/>
            </w:pPr>
            <w:r>
              <w:rPr>
                <w:rFonts w:eastAsia="標楷體"/>
                <w:sz w:val="32"/>
              </w:rPr>
              <w:t>標案</w:t>
            </w:r>
            <w:proofErr w:type="gramStart"/>
            <w:r>
              <w:rPr>
                <w:rFonts w:eastAsia="標楷體"/>
                <w:sz w:val="32"/>
              </w:rPr>
              <w:t>案</w:t>
            </w:r>
            <w:proofErr w:type="gramEnd"/>
            <w:r>
              <w:rPr>
                <w:rFonts w:eastAsia="標楷體"/>
                <w:sz w:val="32"/>
              </w:rPr>
              <w:t>號：</w:t>
            </w:r>
            <w:r>
              <w:rPr>
                <w:rFonts w:eastAsia="標楷體"/>
                <w:sz w:val="32"/>
                <w:u w:val="single"/>
              </w:rPr>
              <w:t xml:space="preserve">　　　　　　　　　　　　　　　　　　　　　</w:t>
            </w:r>
            <w:r>
              <w:rPr>
                <w:rFonts w:eastAsia="標楷體"/>
                <w:sz w:val="32"/>
                <w:u w:val="single"/>
              </w:rPr>
              <w:t xml:space="preserve">     </w:t>
            </w:r>
            <w:r>
              <w:rPr>
                <w:rFonts w:eastAsia="標楷體"/>
                <w:sz w:val="32"/>
                <w:u w:val="single"/>
              </w:rPr>
              <w:t xml:space="preserve">　　　</w:t>
            </w:r>
          </w:p>
        </w:tc>
      </w:tr>
      <w:tr w:rsidR="00822895">
        <w:tblPrEx>
          <w:tblCellMar>
            <w:top w:w="0" w:type="dxa"/>
            <w:bottom w:w="0" w:type="dxa"/>
          </w:tblCellMar>
        </w:tblPrEx>
        <w:trPr>
          <w:cantSplit/>
          <w:trHeight w:val="544"/>
          <w:jc w:val="center"/>
        </w:trPr>
        <w:tc>
          <w:tcPr>
            <w:tcW w:w="7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napToGrid w:val="0"/>
              <w:spacing w:line="350" w:lineRule="exact"/>
              <w:jc w:val="center"/>
              <w:rPr>
                <w:rFonts w:eastAsia="標楷體"/>
                <w:sz w:val="28"/>
              </w:rPr>
            </w:pPr>
            <w:r>
              <w:rPr>
                <w:rFonts w:eastAsia="標楷體"/>
                <w:sz w:val="28"/>
              </w:rPr>
              <w:t>檢核事項</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jc w:val="center"/>
              <w:rPr>
                <w:rFonts w:eastAsia="標楷體"/>
              </w:rPr>
            </w:pPr>
            <w:r>
              <w:rPr>
                <w:rFonts w:eastAsia="標楷體"/>
              </w:rPr>
              <w:t>是</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jc w:val="center"/>
              <w:rPr>
                <w:rFonts w:eastAsia="標楷體"/>
              </w:rPr>
            </w:pPr>
            <w:r>
              <w:rPr>
                <w:rFonts w:eastAsia="標楷體"/>
              </w:rPr>
              <w:t>否</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jc w:val="center"/>
              <w:rPr>
                <w:rFonts w:eastAsia="標楷體"/>
              </w:rPr>
            </w:pPr>
            <w:r>
              <w:rPr>
                <w:rFonts w:eastAsia="標楷體"/>
              </w:rPr>
              <w:t>與本案無關</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jc w:val="center"/>
              <w:rPr>
                <w:rFonts w:eastAsia="標楷體"/>
              </w:rPr>
            </w:pPr>
            <w:r>
              <w:rPr>
                <w:rFonts w:eastAsia="標楷體"/>
              </w:rPr>
              <w:t>檢核人簽章及日期</w:t>
            </w:r>
          </w:p>
        </w:tc>
      </w:tr>
      <w:tr w:rsidR="00822895">
        <w:tblPrEx>
          <w:tblCellMar>
            <w:top w:w="0" w:type="dxa"/>
            <w:bottom w:w="0" w:type="dxa"/>
          </w:tblCellMar>
        </w:tblPrEx>
        <w:trPr>
          <w:cantSplit/>
          <w:jc w:val="center"/>
        </w:trPr>
        <w:tc>
          <w:tcPr>
            <w:tcW w:w="57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ind w:firstLine="2"/>
              <w:jc w:val="center"/>
              <w:rPr>
                <w:rFonts w:eastAsia="標楷體"/>
              </w:rPr>
            </w:pPr>
            <w:r>
              <w:rPr>
                <w:rFonts w:eastAsia="標楷體"/>
              </w:rPr>
              <w:t>準備招標文件</w:t>
            </w: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1"/>
              </w:numPr>
              <w:tabs>
                <w:tab w:val="left" w:pos="332"/>
              </w:tabs>
              <w:spacing w:line="310" w:lineRule="exact"/>
              <w:ind w:left="332" w:hanging="260"/>
              <w:jc w:val="both"/>
              <w:rPr>
                <w:rFonts w:eastAsia="標楷體"/>
              </w:rPr>
            </w:pPr>
            <w:r>
              <w:rPr>
                <w:rFonts w:eastAsia="標楷體"/>
              </w:rPr>
              <w:t>招標文件是否已依個案特性及實際需要</w:t>
            </w:r>
            <w:proofErr w:type="gramStart"/>
            <w:r>
              <w:rPr>
                <w:rFonts w:eastAsia="標楷體"/>
              </w:rPr>
              <w:t>載明承保</w:t>
            </w:r>
            <w:proofErr w:type="gramEnd"/>
            <w:r>
              <w:rPr>
                <w:rFonts w:eastAsia="標楷體"/>
              </w:rPr>
              <w:t>範圍、需附加之保險或條款</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firstLine="2"/>
              <w:jc w:val="center"/>
              <w:rPr>
                <w:rFonts w:eastAsia="標楷體"/>
              </w:rPr>
            </w:pP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1"/>
              </w:numPr>
              <w:tabs>
                <w:tab w:val="left" w:pos="332"/>
              </w:tabs>
              <w:spacing w:line="310" w:lineRule="exact"/>
              <w:ind w:left="332" w:hanging="260"/>
              <w:jc w:val="both"/>
              <w:rPr>
                <w:rFonts w:eastAsia="標楷體"/>
              </w:rPr>
            </w:pPr>
            <w:r>
              <w:rPr>
                <w:rFonts w:eastAsia="標楷體"/>
              </w:rPr>
              <w:t>工程採購之共同被保險人是否已包括機關及訂約廠商、分包廠商；財物採購及資訊服務採購之共同被保險人是否已包括機關及訂約廠商</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firstLine="2"/>
              <w:jc w:val="center"/>
              <w:rPr>
                <w:rFonts w:eastAsia="標楷體"/>
              </w:rPr>
            </w:pP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1"/>
              </w:numPr>
              <w:tabs>
                <w:tab w:val="left" w:pos="332"/>
              </w:tabs>
              <w:spacing w:line="310" w:lineRule="exact"/>
              <w:ind w:left="332" w:hanging="260"/>
              <w:jc w:val="both"/>
              <w:rPr>
                <w:rFonts w:eastAsia="標楷體"/>
              </w:rPr>
            </w:pPr>
            <w:r>
              <w:rPr>
                <w:rFonts w:eastAsia="標楷體"/>
              </w:rPr>
              <w:t>工程採購及財物採購之受益人是否為機關且已加</w:t>
            </w:r>
            <w:proofErr w:type="gramStart"/>
            <w:r>
              <w:rPr>
                <w:rFonts w:eastAsia="標楷體"/>
              </w:rPr>
              <w:t>註</w:t>
            </w:r>
            <w:proofErr w:type="gramEnd"/>
            <w:r>
              <w:rPr>
                <w:rFonts w:eastAsia="標楷體"/>
              </w:rPr>
              <w:t>「不含責任保險」</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firstLine="2"/>
              <w:jc w:val="center"/>
              <w:rPr>
                <w:rFonts w:eastAsia="標楷體"/>
              </w:rPr>
            </w:pP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1"/>
              </w:numPr>
              <w:tabs>
                <w:tab w:val="left" w:pos="332"/>
              </w:tabs>
              <w:spacing w:line="310" w:lineRule="exact"/>
              <w:ind w:left="332" w:hanging="260"/>
              <w:jc w:val="both"/>
              <w:rPr>
                <w:rFonts w:eastAsia="標楷體"/>
              </w:rPr>
            </w:pPr>
            <w:r>
              <w:rPr>
                <w:rFonts w:eastAsia="標楷體"/>
              </w:rPr>
              <w:t>招標文件是否已載明投保金額、要保人自負額</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firstLine="2"/>
              <w:jc w:val="center"/>
              <w:rPr>
                <w:rFonts w:eastAsia="標楷體"/>
              </w:rPr>
            </w:pP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1"/>
              </w:numPr>
              <w:tabs>
                <w:tab w:val="left" w:pos="332"/>
              </w:tabs>
              <w:spacing w:line="310" w:lineRule="exact"/>
              <w:ind w:left="332" w:hanging="260"/>
              <w:jc w:val="both"/>
              <w:rPr>
                <w:rFonts w:eastAsia="標楷體"/>
              </w:rPr>
            </w:pPr>
            <w:r>
              <w:rPr>
                <w:rFonts w:eastAsia="標楷體"/>
              </w:rPr>
              <w:t>保險費預算是否已考量個案特性及市場行情</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jc w:val="center"/>
              <w:rPr>
                <w:rFonts w:eastAsia="標楷體"/>
              </w:rPr>
            </w:pPr>
            <w:r>
              <w:rPr>
                <w:rFonts w:eastAsia="標楷體"/>
              </w:rPr>
              <w:t>決標程序</w:t>
            </w: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2"/>
              </w:numPr>
              <w:tabs>
                <w:tab w:val="left" w:pos="322"/>
              </w:tabs>
              <w:spacing w:line="310" w:lineRule="exact"/>
              <w:ind w:left="322" w:hanging="280"/>
              <w:jc w:val="both"/>
              <w:rPr>
                <w:rFonts w:eastAsia="標楷體"/>
              </w:rPr>
            </w:pPr>
            <w:r>
              <w:rPr>
                <w:rFonts w:eastAsia="標楷體"/>
              </w:rPr>
              <w:t>得標廠商投標文件所載保險費是否有政府採購法第</w:t>
            </w:r>
            <w:r>
              <w:rPr>
                <w:rFonts w:eastAsia="標楷體"/>
              </w:rPr>
              <w:t>58</w:t>
            </w:r>
            <w:r>
              <w:rPr>
                <w:rFonts w:eastAsia="標楷體"/>
              </w:rPr>
              <w:t>條所定標價偏低情形</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jc w:val="center"/>
              <w:rPr>
                <w:rFonts w:eastAsia="標楷體"/>
              </w:rPr>
            </w:pP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2"/>
              </w:numPr>
              <w:tabs>
                <w:tab w:val="left" w:pos="322"/>
              </w:tabs>
              <w:spacing w:line="310" w:lineRule="exact"/>
              <w:ind w:left="322" w:hanging="280"/>
              <w:jc w:val="both"/>
              <w:rPr>
                <w:rFonts w:eastAsia="標楷體"/>
              </w:rPr>
            </w:pPr>
            <w:r>
              <w:rPr>
                <w:rFonts w:eastAsia="標楷體"/>
              </w:rPr>
              <w:t>得標廠商投標文件所載保險費如有政府採購法第</w:t>
            </w:r>
            <w:r>
              <w:rPr>
                <w:rFonts w:eastAsia="標楷體"/>
              </w:rPr>
              <w:t>58</w:t>
            </w:r>
            <w:r>
              <w:rPr>
                <w:rFonts w:eastAsia="標楷體"/>
              </w:rPr>
              <w:t>條所定標價偏低情形，機關於決標前是否依該條規定處理</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jc w:val="center"/>
              <w:rPr>
                <w:rFonts w:eastAsia="標楷體"/>
              </w:rPr>
            </w:pPr>
            <w:r>
              <w:rPr>
                <w:rFonts w:eastAsia="標楷體"/>
              </w:rPr>
              <w:t>簽約程序</w:t>
            </w: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jc w:val="both"/>
              <w:rPr>
                <w:rFonts w:eastAsia="標楷體"/>
              </w:rPr>
            </w:pPr>
            <w:r>
              <w:rPr>
                <w:rFonts w:eastAsia="標楷體"/>
              </w:rPr>
              <w:t>本案如係依保險費之預算為基礎，計算契約所載保險費項目之金額，該金額是否未高於得標廠商投標文件所載保險費用金額</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spacing w:line="310" w:lineRule="exact"/>
              <w:ind w:firstLine="2"/>
              <w:jc w:val="center"/>
              <w:rPr>
                <w:rFonts w:eastAsia="標楷體"/>
              </w:rPr>
            </w:pPr>
            <w:r>
              <w:rPr>
                <w:rFonts w:eastAsia="標楷體"/>
              </w:rPr>
              <w:t>履約階段</w:t>
            </w: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契約約定廠商提出之保險單須包含某主要險及附加險條款，廠商是否投保附加險及繳納保險費</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4" w:hanging="192"/>
              <w:jc w:val="both"/>
              <w:rPr>
                <w:rFonts w:eastAsia="標楷體"/>
              </w:rPr>
            </w:pPr>
          </w:p>
        </w:tc>
        <w:tc>
          <w:tcPr>
            <w:tcW w:w="6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得標廠商實際投保內容、金額、自負額是否符合契約約定</w:t>
            </w: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trHeight w:val="20"/>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4" w:hanging="192"/>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保險單之營造或安裝工程財物損失險之保險金額，是否符合契約約定</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契約明定營建機具綜合保險之保險金額應以</w:t>
            </w:r>
            <w:proofErr w:type="gramStart"/>
            <w:r>
              <w:rPr>
                <w:rFonts w:eastAsia="標楷體"/>
              </w:rPr>
              <w:t>新品重置</w:t>
            </w:r>
            <w:proofErr w:type="gramEnd"/>
            <w:r>
              <w:rPr>
                <w:rFonts w:eastAsia="標楷體"/>
              </w:rPr>
              <w:t>價格投保，廠商是否以</w:t>
            </w:r>
            <w:proofErr w:type="gramStart"/>
            <w:r>
              <w:rPr>
                <w:rFonts w:eastAsia="標楷體"/>
              </w:rPr>
              <w:t>新品重置</w:t>
            </w:r>
            <w:proofErr w:type="gramEnd"/>
            <w:r>
              <w:rPr>
                <w:rFonts w:eastAsia="標楷體"/>
              </w:rPr>
              <w:t>價格投保</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7" w:hanging="197"/>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廠商是否依契約及時投保</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9" w:hanging="197"/>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保險單載明之不保事項是否符合契約約定</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4" w:hanging="192"/>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廠商依契約實際投保後，保險費收據之金額與原投標文件所載金額相近，是否依契約所列金額付款</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2" w:hanging="192"/>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402"/>
              </w:tabs>
              <w:spacing w:line="310" w:lineRule="exact"/>
              <w:ind w:left="402" w:hanging="330"/>
              <w:jc w:val="both"/>
              <w:rPr>
                <w:rFonts w:eastAsia="標楷體"/>
              </w:rPr>
            </w:pPr>
            <w:r>
              <w:rPr>
                <w:rFonts w:eastAsia="標楷體"/>
              </w:rPr>
              <w:t>保險單所載保險期間是否涵蓋至採購契約所訂日期</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317" w:hanging="317"/>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402"/>
              </w:tabs>
              <w:spacing w:line="310" w:lineRule="exact"/>
              <w:ind w:left="402" w:hanging="330"/>
              <w:jc w:val="both"/>
              <w:rPr>
                <w:rFonts w:eastAsia="標楷體"/>
              </w:rPr>
            </w:pPr>
            <w:r>
              <w:rPr>
                <w:rFonts w:eastAsia="標楷體"/>
              </w:rPr>
              <w:t>如有展延履約期限或廠商有遲延履約者，保險單所載保險期間是否配合展延</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2" w:hanging="192"/>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402"/>
              </w:tabs>
              <w:spacing w:line="310" w:lineRule="exact"/>
              <w:ind w:left="402" w:hanging="330"/>
              <w:jc w:val="both"/>
              <w:rPr>
                <w:rFonts w:eastAsia="標楷體"/>
              </w:rPr>
            </w:pPr>
            <w:r>
              <w:rPr>
                <w:rFonts w:eastAsia="標楷體"/>
              </w:rPr>
              <w:t>廠商是否依法為其員工及車輛辦理法定社會保險、強制險</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360" w:hanging="360"/>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402"/>
              </w:tabs>
              <w:spacing w:line="310" w:lineRule="exact"/>
              <w:ind w:left="402" w:hanging="330"/>
              <w:jc w:val="both"/>
              <w:rPr>
                <w:rFonts w:eastAsia="標楷體"/>
              </w:rPr>
            </w:pPr>
            <w:r>
              <w:rPr>
                <w:rFonts w:eastAsia="標楷體"/>
              </w:rPr>
              <w:t>廠商是否依契約約定提出投保或加保證明</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192" w:hanging="192"/>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402"/>
              </w:tabs>
              <w:spacing w:line="310" w:lineRule="exact"/>
              <w:ind w:left="402" w:hanging="330"/>
              <w:jc w:val="both"/>
              <w:rPr>
                <w:rFonts w:eastAsia="標楷體"/>
              </w:rPr>
            </w:pPr>
            <w:r>
              <w:rPr>
                <w:rFonts w:eastAsia="標楷體"/>
              </w:rPr>
              <w:t>保險單或保險費收據是否非屬偽造、變造</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319" w:hanging="317"/>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402"/>
              </w:tabs>
              <w:spacing w:line="310" w:lineRule="exact"/>
              <w:ind w:left="402" w:hanging="330"/>
              <w:jc w:val="both"/>
              <w:rPr>
                <w:rFonts w:eastAsia="標楷體"/>
              </w:rPr>
            </w:pPr>
            <w:r>
              <w:rPr>
                <w:rFonts w:eastAsia="標楷體"/>
              </w:rPr>
              <w:t>發生保險事故後，有責任向保險人申請理賠之</w:t>
            </w:r>
            <w:proofErr w:type="gramStart"/>
            <w:r>
              <w:rPr>
                <w:rFonts w:eastAsia="標楷體"/>
              </w:rPr>
              <w:t>ㄧ</w:t>
            </w:r>
            <w:proofErr w:type="gramEnd"/>
            <w:r>
              <w:rPr>
                <w:rFonts w:eastAsia="標楷體"/>
              </w:rPr>
              <w:t>方，是否及時向保險人申請理賠</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5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822895">
            <w:pPr>
              <w:spacing w:line="310" w:lineRule="exact"/>
              <w:ind w:left="319" w:hanging="317"/>
              <w:jc w:val="both"/>
              <w:rPr>
                <w:rFonts w:eastAsia="標楷體"/>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895" w:rsidRDefault="00A730EE">
            <w:pPr>
              <w:numPr>
                <w:ilvl w:val="0"/>
                <w:numId w:val="3"/>
              </w:numPr>
              <w:tabs>
                <w:tab w:val="left" w:pos="332"/>
              </w:tabs>
              <w:spacing w:line="310" w:lineRule="exact"/>
              <w:ind w:left="332" w:hanging="260"/>
              <w:jc w:val="both"/>
              <w:rPr>
                <w:rFonts w:eastAsia="標楷體"/>
              </w:rPr>
            </w:pPr>
            <w:r>
              <w:rPr>
                <w:rFonts w:eastAsia="標楷體"/>
              </w:rPr>
              <w:t>保險單是否依契約約定加</w:t>
            </w:r>
            <w:proofErr w:type="gramStart"/>
            <w:r>
              <w:rPr>
                <w:rFonts w:eastAsia="標楷體"/>
              </w:rPr>
              <w:t>註</w:t>
            </w:r>
            <w:proofErr w:type="gramEnd"/>
            <w:r>
              <w:rPr>
                <w:rFonts w:eastAsia="標楷體"/>
              </w:rPr>
              <w:t>「未經機關同意之任何保險契約之變更或終止，無效」</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895" w:rsidRDefault="00822895">
            <w:pPr>
              <w:spacing w:line="310" w:lineRule="exact"/>
              <w:ind w:left="1"/>
              <w:jc w:val="center"/>
              <w:rPr>
                <w:rFonts w:eastAsia="標楷體"/>
              </w:rPr>
            </w:pPr>
          </w:p>
        </w:tc>
      </w:tr>
      <w:tr w:rsidR="00822895">
        <w:tblPrEx>
          <w:tblCellMar>
            <w:top w:w="0" w:type="dxa"/>
            <w:bottom w:w="0" w:type="dxa"/>
          </w:tblCellMar>
        </w:tblPrEx>
        <w:trPr>
          <w:cantSplit/>
          <w:jc w:val="center"/>
        </w:trPr>
        <w:tc>
          <w:tcPr>
            <w:tcW w:w="10210" w:type="dxa"/>
            <w:gridSpan w:val="6"/>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822895" w:rsidRDefault="00A730EE">
            <w:pPr>
              <w:spacing w:line="310" w:lineRule="exact"/>
              <w:jc w:val="both"/>
              <w:rPr>
                <w:rFonts w:eastAsia="標楷體"/>
              </w:rPr>
            </w:pPr>
            <w:r>
              <w:rPr>
                <w:rFonts w:eastAsia="標楷體"/>
              </w:rPr>
              <w:t>其他補充說明：</w:t>
            </w:r>
            <w:r>
              <w:rPr>
                <w:rFonts w:eastAsia="標楷體"/>
              </w:rPr>
              <w:t xml:space="preserve"> </w:t>
            </w:r>
          </w:p>
        </w:tc>
      </w:tr>
      <w:tr w:rsidR="00822895">
        <w:tblPrEx>
          <w:tblCellMar>
            <w:top w:w="0" w:type="dxa"/>
            <w:bottom w:w="0" w:type="dxa"/>
          </w:tblCellMar>
        </w:tblPrEx>
        <w:trPr>
          <w:cantSplit/>
          <w:jc w:val="center"/>
        </w:trPr>
        <w:tc>
          <w:tcPr>
            <w:tcW w:w="10210" w:type="dxa"/>
            <w:gridSpan w:val="6"/>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822895" w:rsidRDefault="00822895">
            <w:pPr>
              <w:spacing w:line="310" w:lineRule="exact"/>
              <w:jc w:val="both"/>
              <w:rPr>
                <w:rFonts w:eastAsia="標楷體"/>
              </w:rPr>
            </w:pPr>
          </w:p>
        </w:tc>
      </w:tr>
    </w:tbl>
    <w:p w:rsidR="00822895" w:rsidRDefault="00A730EE">
      <w:pPr>
        <w:snapToGrid w:val="0"/>
        <w:spacing w:line="260" w:lineRule="exact"/>
        <w:ind w:left="98" w:right="-401" w:hanging="456"/>
        <w:jc w:val="both"/>
      </w:pPr>
      <w:proofErr w:type="gramStart"/>
      <w:r>
        <w:rPr>
          <w:rFonts w:eastAsia="標楷體"/>
        </w:rPr>
        <w:t>註</w:t>
      </w:r>
      <w:proofErr w:type="gramEnd"/>
      <w:r>
        <w:rPr>
          <w:rFonts w:eastAsia="標楷體"/>
        </w:rPr>
        <w:t>：除與本案無關事項外，餘應為「是」。有「否」者，應為適法之處置。</w:t>
      </w:r>
    </w:p>
    <w:sectPr w:rsidR="00822895">
      <w:footerReference w:type="default" r:id="rId8"/>
      <w:pgSz w:w="11906" w:h="16838"/>
      <w:pgMar w:top="454" w:right="1077" w:bottom="510" w:left="1191" w:header="397" w:footer="397" w:gutter="0"/>
      <w:cols w:space="720"/>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EE" w:rsidRDefault="00A730EE">
      <w:r>
        <w:separator/>
      </w:r>
    </w:p>
  </w:endnote>
  <w:endnote w:type="continuationSeparator" w:id="0">
    <w:p w:rsidR="00A730EE" w:rsidRDefault="00A7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30" w:rsidRDefault="00A730EE">
    <w:pPr>
      <w:pStyle w:val="a4"/>
      <w:jc w:val="cente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EE" w:rsidRDefault="00A730EE">
      <w:r>
        <w:rPr>
          <w:color w:val="000000"/>
        </w:rPr>
        <w:separator/>
      </w:r>
    </w:p>
  </w:footnote>
  <w:footnote w:type="continuationSeparator" w:id="0">
    <w:p w:rsidR="00A730EE" w:rsidRDefault="00A73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AA4"/>
    <w:multiLevelType w:val="multilevel"/>
    <w:tmpl w:val="704228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25D300B"/>
    <w:multiLevelType w:val="multilevel"/>
    <w:tmpl w:val="BE5E9D6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BD902A0"/>
    <w:multiLevelType w:val="multilevel"/>
    <w:tmpl w:val="A44ED4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2895"/>
    <w:rsid w:val="002E0FEE"/>
    <w:rsid w:val="00822895"/>
    <w:rsid w:val="00A730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採購專業人員訓練班開班計畫查核表</dc:title>
  <dc:creator>Jean</dc:creator>
  <cp:lastModifiedBy>賴詩芸</cp:lastModifiedBy>
  <cp:revision>2</cp:revision>
  <cp:lastPrinted>2012-02-02T06:54:00Z</cp:lastPrinted>
  <dcterms:created xsi:type="dcterms:W3CDTF">2024-04-15T09:56:00Z</dcterms:created>
  <dcterms:modified xsi:type="dcterms:W3CDTF">2024-04-15T09:56:00Z</dcterms:modified>
</cp:coreProperties>
</file>