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7C" w:rsidRDefault="00D342EC">
      <w:pPr>
        <w:spacing w:line="240" w:lineRule="atLeast"/>
        <w:ind w:left="360"/>
        <w:rPr>
          <w:rFonts w:ascii="標楷體" w:eastAsia="標楷體" w:hAnsi="標楷體" w:cs="標楷體"/>
          <w:sz w:val="36"/>
          <w:szCs w:val="28"/>
        </w:rPr>
      </w:pPr>
      <w:bookmarkStart w:id="0" w:name="_GoBack"/>
      <w:bookmarkEnd w:id="0"/>
      <w:proofErr w:type="gramStart"/>
      <w:r>
        <w:rPr>
          <w:rFonts w:ascii="標楷體" w:eastAsia="標楷體" w:hAnsi="標楷體" w:cs="標楷體"/>
          <w:sz w:val="36"/>
          <w:szCs w:val="28"/>
        </w:rPr>
        <w:t>臺</w:t>
      </w:r>
      <w:proofErr w:type="gramEnd"/>
      <w:r>
        <w:rPr>
          <w:rFonts w:ascii="標楷體" w:eastAsia="標楷體" w:hAnsi="標楷體" w:cs="標楷體"/>
          <w:sz w:val="36"/>
          <w:szCs w:val="28"/>
        </w:rPr>
        <w:t>中市政府工程採購契約品質缺失懲罰性違約金扣罰基準</w:t>
      </w:r>
    </w:p>
    <w:p w:rsidR="00F6397C" w:rsidRDefault="00D342EC">
      <w:pPr>
        <w:spacing w:line="240" w:lineRule="atLeast"/>
        <w:ind w:left="644" w:hanging="284"/>
        <w:jc w:val="right"/>
        <w:rPr>
          <w:rFonts w:ascii="標楷體" w:eastAsia="標楷體" w:hAnsi="標楷體"/>
          <w:kern w:val="0"/>
          <w:sz w:val="20"/>
          <w:szCs w:val="20"/>
        </w:rPr>
      </w:pPr>
      <w:r>
        <w:rPr>
          <w:rFonts w:ascii="標楷體" w:eastAsia="標楷體" w:hAnsi="標楷體"/>
          <w:kern w:val="0"/>
          <w:sz w:val="20"/>
          <w:szCs w:val="20"/>
        </w:rPr>
        <w:t>103</w:t>
      </w:r>
      <w:r>
        <w:rPr>
          <w:rFonts w:ascii="標楷體" w:eastAsia="標楷體" w:hAnsi="標楷體"/>
          <w:kern w:val="0"/>
          <w:sz w:val="20"/>
          <w:szCs w:val="20"/>
        </w:rPr>
        <w:t>年</w:t>
      </w:r>
      <w:r>
        <w:rPr>
          <w:rFonts w:ascii="標楷體" w:eastAsia="標楷體" w:hAnsi="標楷體"/>
          <w:kern w:val="0"/>
          <w:sz w:val="20"/>
          <w:szCs w:val="20"/>
        </w:rPr>
        <w:t>2</w:t>
      </w:r>
      <w:r>
        <w:rPr>
          <w:rFonts w:ascii="標楷體" w:eastAsia="標楷體" w:hAnsi="標楷體"/>
          <w:kern w:val="0"/>
          <w:sz w:val="20"/>
          <w:szCs w:val="20"/>
        </w:rPr>
        <w:t>月</w:t>
      </w:r>
      <w:r>
        <w:rPr>
          <w:rFonts w:ascii="標楷體" w:eastAsia="標楷體" w:hAnsi="標楷體"/>
          <w:kern w:val="0"/>
          <w:sz w:val="20"/>
          <w:szCs w:val="20"/>
        </w:rPr>
        <w:t>6</w:t>
      </w:r>
      <w:r>
        <w:rPr>
          <w:rFonts w:ascii="標楷體" w:eastAsia="標楷體" w:hAnsi="標楷體"/>
          <w:kern w:val="0"/>
          <w:sz w:val="20"/>
          <w:szCs w:val="20"/>
        </w:rPr>
        <w:t>日</w:t>
      </w:r>
      <w:proofErr w:type="gramStart"/>
      <w:r>
        <w:rPr>
          <w:rFonts w:ascii="標楷體" w:eastAsia="標楷體" w:hAnsi="標楷體"/>
          <w:kern w:val="0"/>
          <w:sz w:val="20"/>
          <w:szCs w:val="20"/>
        </w:rPr>
        <w:t>府授建品</w:t>
      </w:r>
      <w:proofErr w:type="gramEnd"/>
      <w:r>
        <w:rPr>
          <w:rFonts w:ascii="標楷體" w:eastAsia="標楷體" w:hAnsi="標楷體"/>
          <w:kern w:val="0"/>
          <w:sz w:val="20"/>
          <w:szCs w:val="20"/>
        </w:rPr>
        <w:t>字</w:t>
      </w:r>
      <w:proofErr w:type="gramStart"/>
      <w:r>
        <w:rPr>
          <w:rFonts w:ascii="標楷體" w:eastAsia="標楷體" w:hAnsi="標楷體"/>
          <w:kern w:val="0"/>
          <w:sz w:val="20"/>
          <w:szCs w:val="20"/>
        </w:rPr>
        <w:t>第</w:t>
      </w:r>
      <w:r>
        <w:rPr>
          <w:rFonts w:ascii="標楷體" w:eastAsia="標楷體" w:hAnsi="標楷體"/>
          <w:kern w:val="0"/>
          <w:sz w:val="20"/>
          <w:szCs w:val="20"/>
        </w:rPr>
        <w:t>1030021531</w:t>
      </w:r>
      <w:r>
        <w:rPr>
          <w:rFonts w:ascii="標楷體" w:eastAsia="標楷體" w:hAnsi="標楷體"/>
          <w:kern w:val="0"/>
          <w:sz w:val="20"/>
          <w:szCs w:val="20"/>
        </w:rPr>
        <w:t>號函訂定</w:t>
      </w:r>
      <w:proofErr w:type="gramEnd"/>
    </w:p>
    <w:p w:rsidR="00F6397C" w:rsidRDefault="00D342EC">
      <w:pPr>
        <w:spacing w:line="240" w:lineRule="atLeast"/>
        <w:ind w:left="644" w:hanging="284"/>
        <w:jc w:val="right"/>
        <w:rPr>
          <w:rFonts w:ascii="標楷體" w:eastAsia="標楷體" w:hAnsi="標楷體"/>
          <w:kern w:val="0"/>
          <w:sz w:val="20"/>
          <w:szCs w:val="20"/>
        </w:rPr>
      </w:pPr>
      <w:r>
        <w:rPr>
          <w:rFonts w:ascii="標楷體" w:eastAsia="標楷體" w:hAnsi="標楷體"/>
          <w:kern w:val="0"/>
          <w:sz w:val="20"/>
          <w:szCs w:val="20"/>
        </w:rPr>
        <w:t>103</w:t>
      </w:r>
      <w:r>
        <w:rPr>
          <w:rFonts w:ascii="標楷體" w:eastAsia="標楷體" w:hAnsi="標楷體"/>
          <w:kern w:val="0"/>
          <w:sz w:val="20"/>
          <w:szCs w:val="20"/>
        </w:rPr>
        <w:t>年</w:t>
      </w:r>
      <w:r>
        <w:rPr>
          <w:rFonts w:ascii="標楷體" w:eastAsia="標楷體" w:hAnsi="標楷體"/>
          <w:kern w:val="0"/>
          <w:sz w:val="20"/>
          <w:szCs w:val="20"/>
        </w:rPr>
        <w:t>2</w:t>
      </w:r>
      <w:r>
        <w:rPr>
          <w:rFonts w:ascii="標楷體" w:eastAsia="標楷體" w:hAnsi="標楷體"/>
          <w:kern w:val="0"/>
          <w:sz w:val="20"/>
          <w:szCs w:val="20"/>
        </w:rPr>
        <w:t>月</w:t>
      </w:r>
      <w:r>
        <w:rPr>
          <w:rFonts w:ascii="標楷體" w:eastAsia="標楷體" w:hAnsi="標楷體"/>
          <w:kern w:val="0"/>
          <w:sz w:val="20"/>
          <w:szCs w:val="20"/>
        </w:rPr>
        <w:t>13</w:t>
      </w:r>
      <w:r>
        <w:rPr>
          <w:rFonts w:ascii="標楷體" w:eastAsia="標楷體" w:hAnsi="標楷體"/>
          <w:kern w:val="0"/>
          <w:sz w:val="20"/>
          <w:szCs w:val="20"/>
        </w:rPr>
        <w:t>日</w:t>
      </w:r>
      <w:proofErr w:type="gramStart"/>
      <w:r>
        <w:rPr>
          <w:rFonts w:ascii="標楷體" w:eastAsia="標楷體" w:hAnsi="標楷體"/>
          <w:kern w:val="0"/>
          <w:sz w:val="20"/>
          <w:szCs w:val="20"/>
        </w:rPr>
        <w:t>府授建品</w:t>
      </w:r>
      <w:proofErr w:type="gramEnd"/>
      <w:r>
        <w:rPr>
          <w:rFonts w:ascii="標楷體" w:eastAsia="標楷體" w:hAnsi="標楷體"/>
          <w:kern w:val="0"/>
          <w:sz w:val="20"/>
          <w:szCs w:val="20"/>
        </w:rPr>
        <w:t>字</w:t>
      </w:r>
      <w:proofErr w:type="gramStart"/>
      <w:r>
        <w:rPr>
          <w:rFonts w:ascii="標楷體" w:eastAsia="標楷體" w:hAnsi="標楷體"/>
          <w:kern w:val="0"/>
          <w:sz w:val="20"/>
          <w:szCs w:val="20"/>
        </w:rPr>
        <w:t>第</w:t>
      </w:r>
      <w:r>
        <w:rPr>
          <w:rFonts w:ascii="標楷體" w:eastAsia="標楷體" w:hAnsi="標楷體"/>
          <w:kern w:val="0"/>
          <w:sz w:val="20"/>
          <w:szCs w:val="20"/>
        </w:rPr>
        <w:t>1030027237</w:t>
      </w:r>
      <w:r>
        <w:rPr>
          <w:rFonts w:ascii="標楷體" w:eastAsia="標楷體" w:hAnsi="標楷體"/>
          <w:kern w:val="0"/>
          <w:sz w:val="20"/>
          <w:szCs w:val="20"/>
        </w:rPr>
        <w:t>號函訂定</w:t>
      </w:r>
      <w:proofErr w:type="gramEnd"/>
    </w:p>
    <w:p w:rsidR="00F6397C" w:rsidRDefault="00D342EC">
      <w:pPr>
        <w:spacing w:line="240" w:lineRule="atLeast"/>
        <w:ind w:left="644" w:hanging="284"/>
        <w:jc w:val="right"/>
      </w:pPr>
      <w:r>
        <w:rPr>
          <w:rFonts w:ascii="標楷體" w:eastAsia="標楷體" w:hAnsi="標楷體"/>
          <w:kern w:val="0"/>
          <w:sz w:val="20"/>
          <w:szCs w:val="20"/>
        </w:rPr>
        <w:t>104</w:t>
      </w:r>
      <w:r>
        <w:rPr>
          <w:rFonts w:ascii="標楷體" w:eastAsia="標楷體" w:hAnsi="標楷體"/>
          <w:kern w:val="0"/>
          <w:sz w:val="20"/>
          <w:szCs w:val="20"/>
        </w:rPr>
        <w:t>年</w:t>
      </w:r>
      <w:r>
        <w:rPr>
          <w:rFonts w:ascii="標楷體" w:eastAsia="標楷體" w:hAnsi="標楷體"/>
          <w:kern w:val="0"/>
          <w:sz w:val="20"/>
          <w:szCs w:val="20"/>
        </w:rPr>
        <w:t>12</w:t>
      </w:r>
      <w:r>
        <w:rPr>
          <w:rFonts w:ascii="標楷體" w:eastAsia="標楷體" w:hAnsi="標楷體"/>
          <w:kern w:val="0"/>
          <w:sz w:val="20"/>
          <w:szCs w:val="20"/>
        </w:rPr>
        <w:t>月</w:t>
      </w:r>
      <w:r>
        <w:rPr>
          <w:rFonts w:ascii="標楷體" w:eastAsia="標楷體" w:hAnsi="標楷體"/>
          <w:kern w:val="0"/>
          <w:sz w:val="20"/>
          <w:szCs w:val="20"/>
        </w:rPr>
        <w:t>23</w:t>
      </w:r>
      <w:r>
        <w:rPr>
          <w:rFonts w:ascii="標楷體" w:eastAsia="標楷體" w:hAnsi="標楷體"/>
          <w:kern w:val="0"/>
          <w:sz w:val="20"/>
          <w:szCs w:val="20"/>
        </w:rPr>
        <w:t>日</w:t>
      </w:r>
      <w:proofErr w:type="gramStart"/>
      <w:r>
        <w:rPr>
          <w:rFonts w:ascii="標楷體" w:eastAsia="標楷體" w:hAnsi="標楷體"/>
          <w:kern w:val="0"/>
          <w:sz w:val="20"/>
          <w:szCs w:val="20"/>
        </w:rPr>
        <w:t>府授建品</w:t>
      </w:r>
      <w:proofErr w:type="gramEnd"/>
      <w:r>
        <w:rPr>
          <w:rFonts w:ascii="標楷體" w:eastAsia="標楷體" w:hAnsi="標楷體"/>
          <w:kern w:val="0"/>
          <w:sz w:val="20"/>
          <w:szCs w:val="20"/>
        </w:rPr>
        <w:t>字第</w:t>
      </w:r>
      <w:r>
        <w:rPr>
          <w:rFonts w:ascii="標楷體" w:eastAsia="標楷體" w:hAnsi="標楷體"/>
          <w:kern w:val="0"/>
          <w:sz w:val="20"/>
          <w:szCs w:val="20"/>
        </w:rPr>
        <w:t>1040276952</w:t>
      </w:r>
      <w:r>
        <w:rPr>
          <w:rFonts w:ascii="標楷體" w:eastAsia="標楷體" w:hAnsi="標楷體"/>
          <w:kern w:val="0"/>
          <w:sz w:val="20"/>
          <w:szCs w:val="20"/>
        </w:rPr>
        <w:t>號函修正</w:t>
      </w:r>
    </w:p>
    <w:p w:rsidR="00F6397C" w:rsidRDefault="00D342EC">
      <w:pPr>
        <w:numPr>
          <w:ilvl w:val="0"/>
          <w:numId w:val="1"/>
        </w:numPr>
        <w:snapToGrid w:val="0"/>
        <w:spacing w:line="460" w:lineRule="exact"/>
        <w:ind w:left="560" w:hanging="560"/>
        <w:jc w:val="both"/>
        <w:rPr>
          <w:rFonts w:ascii="標楷體" w:eastAsia="標楷體" w:hAnsi="標楷體" w:cs="標楷體"/>
          <w:sz w:val="28"/>
          <w:szCs w:val="28"/>
        </w:rPr>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政府為加強工程履約管理提升施工品質，依工程施工查核小組品質缺失進行懲罰性違約金機制，對於工程契約採購案，廠商履約有缺失情形，以扣點方式處以懲罰性違約金，以落實工程品質管理，訂定本基準。</w:t>
      </w:r>
    </w:p>
    <w:p w:rsidR="00F6397C" w:rsidRDefault="00D342EC">
      <w:pPr>
        <w:numPr>
          <w:ilvl w:val="0"/>
          <w:numId w:val="1"/>
        </w:numPr>
        <w:snapToGrid w:val="0"/>
        <w:spacing w:line="460" w:lineRule="exact"/>
        <w:ind w:left="0" w:firstLine="0"/>
        <w:jc w:val="both"/>
        <w:rPr>
          <w:rFonts w:ascii="標楷體" w:eastAsia="標楷體" w:hAnsi="標楷體" w:cs="標楷體"/>
          <w:sz w:val="28"/>
          <w:szCs w:val="28"/>
        </w:rPr>
      </w:pPr>
      <w:r>
        <w:rPr>
          <w:rFonts w:ascii="標楷體" w:eastAsia="標楷體" w:hAnsi="標楷體" w:cs="標楷體"/>
          <w:sz w:val="28"/>
          <w:szCs w:val="28"/>
        </w:rPr>
        <w:t>工程施工查核小組查核結果有下列情形者，依下列規定扣點：</w:t>
      </w:r>
    </w:p>
    <w:p w:rsidR="00F6397C" w:rsidRDefault="00D342EC">
      <w:pPr>
        <w:numPr>
          <w:ilvl w:val="0"/>
          <w:numId w:val="2"/>
        </w:numPr>
        <w:snapToGrid w:val="0"/>
        <w:spacing w:line="460" w:lineRule="exact"/>
        <w:ind w:left="1040" w:hanging="560"/>
        <w:jc w:val="both"/>
        <w:rPr>
          <w:rFonts w:ascii="標楷體" w:eastAsia="標楷體" w:hAnsi="標楷體" w:cs="標楷體"/>
          <w:sz w:val="28"/>
          <w:szCs w:val="28"/>
        </w:rPr>
      </w:pPr>
      <w:r>
        <w:rPr>
          <w:rFonts w:ascii="標楷體" w:eastAsia="標楷體" w:hAnsi="標楷體" w:cs="標楷體"/>
          <w:sz w:val="28"/>
          <w:szCs w:val="28"/>
        </w:rPr>
        <w:t>查核金額以上之工程：查核成績未達八十分</w:t>
      </w:r>
      <w:r>
        <w:rPr>
          <w:rFonts w:ascii="標楷體" w:eastAsia="標楷體" w:hAnsi="標楷體" w:cs="標楷體"/>
          <w:sz w:val="28"/>
          <w:szCs w:val="28"/>
        </w:rPr>
        <w:t>(</w:t>
      </w:r>
      <w:r>
        <w:rPr>
          <w:rFonts w:ascii="標楷體" w:eastAsia="標楷體" w:hAnsi="標楷體" w:cs="標楷體"/>
          <w:sz w:val="28"/>
          <w:szCs w:val="28"/>
        </w:rPr>
        <w:t>甲等</w:t>
      </w:r>
      <w:r>
        <w:rPr>
          <w:rFonts w:ascii="標楷體" w:eastAsia="標楷體" w:hAnsi="標楷體" w:cs="標楷體"/>
          <w:sz w:val="28"/>
          <w:szCs w:val="28"/>
        </w:rPr>
        <w:t>)</w:t>
      </w:r>
      <w:r>
        <w:rPr>
          <w:rFonts w:ascii="標楷體" w:eastAsia="標楷體" w:hAnsi="標楷體" w:cs="標楷體"/>
          <w:sz w:val="28"/>
          <w:szCs w:val="28"/>
        </w:rPr>
        <w:t>扣十點；查核成績未達七十五分扣十五點。</w:t>
      </w:r>
    </w:p>
    <w:p w:rsidR="00F6397C" w:rsidRDefault="00D342EC">
      <w:pPr>
        <w:numPr>
          <w:ilvl w:val="0"/>
          <w:numId w:val="2"/>
        </w:numPr>
        <w:snapToGrid w:val="0"/>
        <w:spacing w:line="460" w:lineRule="exact"/>
        <w:ind w:left="1040" w:hanging="560"/>
        <w:jc w:val="both"/>
        <w:rPr>
          <w:rFonts w:ascii="標楷體" w:eastAsia="標楷體" w:hAnsi="標楷體" w:cs="標楷體"/>
          <w:sz w:val="28"/>
          <w:szCs w:val="28"/>
        </w:rPr>
      </w:pPr>
      <w:r>
        <w:rPr>
          <w:rFonts w:ascii="標楷體" w:eastAsia="標楷體" w:hAnsi="標楷體" w:cs="標楷體"/>
          <w:sz w:val="28"/>
          <w:szCs w:val="28"/>
        </w:rPr>
        <w:t>未達查核金額之工程：查核成績未達八十分</w:t>
      </w:r>
      <w:r>
        <w:rPr>
          <w:rFonts w:ascii="標楷體" w:eastAsia="標楷體" w:hAnsi="標楷體" w:cs="標楷體"/>
          <w:sz w:val="28"/>
          <w:szCs w:val="28"/>
        </w:rPr>
        <w:t>(</w:t>
      </w:r>
      <w:r>
        <w:rPr>
          <w:rFonts w:ascii="標楷體" w:eastAsia="標楷體" w:hAnsi="標楷體" w:cs="標楷體"/>
          <w:sz w:val="28"/>
          <w:szCs w:val="28"/>
        </w:rPr>
        <w:t>甲等</w:t>
      </w:r>
      <w:r>
        <w:rPr>
          <w:rFonts w:ascii="標楷體" w:eastAsia="標楷體" w:hAnsi="標楷體" w:cs="標楷體"/>
          <w:sz w:val="28"/>
          <w:szCs w:val="28"/>
        </w:rPr>
        <w:t>)</w:t>
      </w:r>
      <w:r>
        <w:rPr>
          <w:rFonts w:ascii="標楷體" w:eastAsia="標楷體" w:hAnsi="標楷體" w:cs="標楷體"/>
          <w:sz w:val="28"/>
          <w:szCs w:val="28"/>
        </w:rPr>
        <w:t>扣五點；查核成績未達七十五分扣十點。</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履約期間內工地應擔任專職人員有不當兼職之情形者，每人扣十點；經工程主辦機關通知限期改善，屆期未改善者，得按日扣點至改善之日止。</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監造廠商或承攬廠商未落實工程材料會同取樣、送驗、</w:t>
      </w:r>
      <w:proofErr w:type="gramStart"/>
      <w:r>
        <w:rPr>
          <w:rFonts w:ascii="標楷體" w:eastAsia="標楷體" w:hAnsi="標楷體" w:cs="標楷體"/>
          <w:sz w:val="28"/>
          <w:szCs w:val="28"/>
        </w:rPr>
        <w:t>會驗及</w:t>
      </w:r>
      <w:proofErr w:type="gramEnd"/>
      <w:r>
        <w:rPr>
          <w:rFonts w:ascii="標楷體" w:eastAsia="標楷體" w:hAnsi="標楷體" w:cs="標楷體"/>
          <w:sz w:val="28"/>
          <w:szCs w:val="28"/>
        </w:rPr>
        <w:t>由品管人員與監造廠商判定材料抽</w:t>
      </w:r>
      <w:r>
        <w:rPr>
          <w:rFonts w:ascii="標楷體" w:eastAsia="標楷體" w:hAnsi="標楷體" w:cs="標楷體"/>
          <w:sz w:val="28"/>
          <w:szCs w:val="28"/>
        </w:rPr>
        <w:t>(</w:t>
      </w:r>
      <w:r>
        <w:rPr>
          <w:rFonts w:ascii="標楷體" w:eastAsia="標楷體" w:hAnsi="標楷體" w:cs="標楷體"/>
          <w:sz w:val="28"/>
          <w:szCs w:val="28"/>
        </w:rPr>
        <w:t>檢</w:t>
      </w:r>
      <w:r>
        <w:rPr>
          <w:rFonts w:ascii="標楷體" w:eastAsia="標楷體" w:hAnsi="標楷體" w:cs="標楷體"/>
          <w:sz w:val="28"/>
          <w:szCs w:val="28"/>
        </w:rPr>
        <w:t>)</w:t>
      </w:r>
      <w:r>
        <w:rPr>
          <w:rFonts w:ascii="標楷體" w:eastAsia="標楷體" w:hAnsi="標楷體" w:cs="標楷體"/>
          <w:sz w:val="28"/>
          <w:szCs w:val="28"/>
        </w:rPr>
        <w:t>驗結果者，每次扣五點。</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依本基準扣點之懲罰性違約金金額如下：</w:t>
      </w:r>
    </w:p>
    <w:p w:rsidR="00F6397C" w:rsidRDefault="00D342EC">
      <w:pPr>
        <w:numPr>
          <w:ilvl w:val="0"/>
          <w:numId w:val="3"/>
        </w:numPr>
        <w:snapToGrid w:val="0"/>
        <w:spacing w:line="460" w:lineRule="exact"/>
        <w:ind w:left="1040" w:hanging="560"/>
        <w:jc w:val="both"/>
        <w:rPr>
          <w:rFonts w:ascii="標楷體" w:eastAsia="標楷體" w:hAnsi="標楷體" w:cs="標楷體"/>
          <w:sz w:val="28"/>
          <w:szCs w:val="28"/>
        </w:rPr>
      </w:pPr>
      <w:r>
        <w:rPr>
          <w:rFonts w:ascii="標楷體" w:eastAsia="標楷體" w:hAnsi="標楷體" w:cs="標楷體"/>
          <w:sz w:val="28"/>
          <w:szCs w:val="28"/>
        </w:rPr>
        <w:t>巨額採購以上之工程採購，每點新臺幣八千元。</w:t>
      </w:r>
    </w:p>
    <w:p w:rsidR="00F6397C" w:rsidRDefault="00D342EC">
      <w:pPr>
        <w:numPr>
          <w:ilvl w:val="0"/>
          <w:numId w:val="3"/>
        </w:numPr>
        <w:snapToGrid w:val="0"/>
        <w:spacing w:line="460" w:lineRule="exact"/>
        <w:ind w:left="1040" w:hanging="560"/>
        <w:jc w:val="both"/>
        <w:rPr>
          <w:rFonts w:ascii="標楷體" w:eastAsia="標楷體" w:hAnsi="標楷體" w:cs="標楷體"/>
          <w:sz w:val="28"/>
          <w:szCs w:val="28"/>
        </w:rPr>
      </w:pPr>
      <w:r>
        <w:rPr>
          <w:rFonts w:ascii="標楷體" w:eastAsia="標楷體" w:hAnsi="標楷體" w:cs="標楷體"/>
          <w:sz w:val="28"/>
          <w:szCs w:val="28"/>
        </w:rPr>
        <w:t>查核金額以上未達巨額採購之工程採購，每點新臺幣四千元。</w:t>
      </w:r>
    </w:p>
    <w:p w:rsidR="00F6397C" w:rsidRDefault="00D342EC">
      <w:pPr>
        <w:numPr>
          <w:ilvl w:val="0"/>
          <w:numId w:val="3"/>
        </w:numPr>
        <w:snapToGrid w:val="0"/>
        <w:spacing w:line="460" w:lineRule="exact"/>
        <w:ind w:left="960"/>
        <w:jc w:val="both"/>
      </w:pPr>
      <w:r>
        <w:rPr>
          <w:rFonts w:ascii="標楷體" w:eastAsia="標楷體" w:hAnsi="標楷體" w:cs="標楷體"/>
          <w:szCs w:val="28"/>
        </w:rPr>
        <w:t>一</w:t>
      </w:r>
      <w:r>
        <w:rPr>
          <w:rFonts w:ascii="標楷體" w:eastAsia="標楷體" w:hAnsi="標楷體" w:cs="標楷體"/>
          <w:sz w:val="28"/>
          <w:szCs w:val="28"/>
        </w:rPr>
        <w:t>千萬元以上未達查核金額之工程採購，每點新臺幣二千元。</w:t>
      </w:r>
    </w:p>
    <w:p w:rsidR="00F6397C" w:rsidRDefault="00D342EC">
      <w:pPr>
        <w:numPr>
          <w:ilvl w:val="0"/>
          <w:numId w:val="3"/>
        </w:numPr>
        <w:snapToGrid w:val="0"/>
        <w:spacing w:line="460" w:lineRule="exact"/>
        <w:ind w:left="1040" w:hanging="560"/>
        <w:jc w:val="both"/>
      </w:pPr>
      <w:r>
        <w:rPr>
          <w:rFonts w:ascii="標楷體" w:eastAsia="標楷體" w:hAnsi="標楷體" w:cs="標楷體"/>
          <w:sz w:val="28"/>
          <w:szCs w:val="28"/>
        </w:rPr>
        <w:t>未達一千萬元之工程採購，每點新臺幣一千元。</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依本基準處以懲罰性違約金，以契約</w:t>
      </w:r>
      <w:r>
        <w:rPr>
          <w:rFonts w:ascii="標楷體" w:eastAsia="標楷體" w:hAnsi="標楷體" w:cs="標楷體"/>
          <w:sz w:val="28"/>
          <w:szCs w:val="28"/>
        </w:rPr>
        <w:t>價金總額百分之二十為限</w:t>
      </w:r>
      <w:r>
        <w:rPr>
          <w:rFonts w:ascii="標楷體" w:eastAsia="標楷體" w:hAnsi="標楷體"/>
          <w:sz w:val="28"/>
          <w:szCs w:val="28"/>
        </w:rPr>
        <w:t>。</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工程主辦機關依公共工程施工品質管理作業要點第十五點規定辦理督導工作發現施工品質缺失時，應依工程施工查核小組查核品質缺失扣點紀錄表之項目進行扣點，工程主辦機關並應留存督導紀錄備查，每點</w:t>
      </w:r>
      <w:r>
        <w:rPr>
          <w:rFonts w:ascii="標楷體" w:eastAsia="標楷體" w:hAnsi="標楷體" w:cs="標楷體"/>
          <w:sz w:val="28"/>
          <w:szCs w:val="24"/>
        </w:rPr>
        <w:t>懲罰性違約金</w:t>
      </w:r>
      <w:r>
        <w:rPr>
          <w:rFonts w:ascii="標楷體" w:eastAsia="標楷體" w:hAnsi="標楷體" w:cs="標楷體"/>
          <w:sz w:val="28"/>
          <w:szCs w:val="28"/>
        </w:rPr>
        <w:t>金額</w:t>
      </w:r>
      <w:proofErr w:type="gramStart"/>
      <w:r>
        <w:rPr>
          <w:rFonts w:ascii="標楷體" w:eastAsia="標楷體" w:hAnsi="標楷體" w:cs="標楷體"/>
          <w:sz w:val="28"/>
          <w:szCs w:val="28"/>
        </w:rPr>
        <w:t>準</w:t>
      </w:r>
      <w:proofErr w:type="gramEnd"/>
      <w:r>
        <w:rPr>
          <w:rFonts w:ascii="標楷體" w:eastAsia="標楷體" w:hAnsi="標楷體" w:cs="標楷體"/>
          <w:sz w:val="28"/>
          <w:szCs w:val="28"/>
        </w:rPr>
        <w:t>用本基準第五點規定辦理。</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工程主辦機關辦理工程採購時，應將本基準附入採購契約中，除契約另有較重扣罰規定外，應依本基準辦理</w:t>
      </w:r>
      <w:r>
        <w:rPr>
          <w:rFonts w:ascii="標楷體" w:eastAsia="標楷體" w:hAnsi="標楷體"/>
          <w:sz w:val="28"/>
          <w:szCs w:val="28"/>
        </w:rPr>
        <w:t>。</w:t>
      </w:r>
    </w:p>
    <w:p w:rsidR="00F6397C" w:rsidRDefault="00D342EC">
      <w:pPr>
        <w:numPr>
          <w:ilvl w:val="0"/>
          <w:numId w:val="1"/>
        </w:numPr>
        <w:snapToGrid w:val="0"/>
        <w:spacing w:line="460" w:lineRule="exact"/>
        <w:ind w:left="482" w:hanging="482"/>
        <w:jc w:val="both"/>
      </w:pPr>
      <w:r>
        <w:rPr>
          <w:rFonts w:ascii="標楷體" w:eastAsia="標楷體" w:hAnsi="標楷體" w:cs="標楷體"/>
          <w:sz w:val="28"/>
          <w:szCs w:val="28"/>
        </w:rPr>
        <w:t>承攬廠商對工程主辦機關扣罰結果有爭議時，依契約爭議處理條文辦理</w:t>
      </w:r>
      <w:r>
        <w:rPr>
          <w:rFonts w:ascii="標楷體" w:eastAsia="標楷體" w:hAnsi="標楷體"/>
          <w:sz w:val="28"/>
          <w:szCs w:val="28"/>
        </w:rPr>
        <w:t>。</w:t>
      </w:r>
    </w:p>
    <w:p w:rsidR="00F6397C" w:rsidRDefault="00F6397C">
      <w:pPr>
        <w:pStyle w:val="a3"/>
        <w:spacing w:line="460" w:lineRule="exact"/>
        <w:ind w:left="720"/>
        <w:rPr>
          <w:rFonts w:ascii="標楷體" w:eastAsia="標楷體" w:hAnsi="標楷體"/>
          <w:sz w:val="28"/>
          <w:szCs w:val="28"/>
        </w:rPr>
      </w:pPr>
    </w:p>
    <w:sectPr w:rsidR="00F6397C">
      <w:footerReference w:type="default" r:id="rId8"/>
      <w:pgSz w:w="11906" w:h="16838"/>
      <w:pgMar w:top="1134" w:right="1134" w:bottom="1134" w:left="1134" w:header="851" w:footer="992" w:gutter="0"/>
      <w:cols w:space="720"/>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EC" w:rsidRDefault="00D342EC">
      <w:r>
        <w:separator/>
      </w:r>
    </w:p>
  </w:endnote>
  <w:endnote w:type="continuationSeparator" w:id="0">
    <w:p w:rsidR="00D342EC" w:rsidRDefault="00D3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ũ">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78" w:rsidRDefault="00D342EC">
    <w:pPr>
      <w:pStyle w:val="a6"/>
      <w:jc w:val="center"/>
    </w:pPr>
    <w:r>
      <w:rPr>
        <w:lang w:val="zh-TW"/>
      </w:rPr>
      <w:fldChar w:fldCharType="begin"/>
    </w:r>
    <w:r>
      <w:rPr>
        <w:lang w:val="zh-TW"/>
      </w:rPr>
      <w:instrText xml:space="preserve"> PAGE </w:instrText>
    </w:r>
    <w:r>
      <w:rPr>
        <w:lang w:val="zh-TW"/>
      </w:rPr>
      <w:fldChar w:fldCharType="separate"/>
    </w:r>
    <w:r w:rsidR="00D6340D">
      <w:rPr>
        <w:noProof/>
        <w:lang w:val="zh-TW"/>
      </w:rPr>
      <w:t>1</w:t>
    </w:r>
    <w:r>
      <w:rPr>
        <w:lang w:val="zh-TW"/>
      </w:rPr>
      <w:fldChar w:fldCharType="end"/>
    </w:r>
  </w:p>
  <w:p w:rsidR="00011978" w:rsidRDefault="00D342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EC" w:rsidRDefault="00D342EC">
      <w:r>
        <w:rPr>
          <w:color w:val="000000"/>
        </w:rPr>
        <w:separator/>
      </w:r>
    </w:p>
  </w:footnote>
  <w:footnote w:type="continuationSeparator" w:id="0">
    <w:p w:rsidR="00D342EC" w:rsidRDefault="00D34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85BAB"/>
    <w:multiLevelType w:val="multilevel"/>
    <w:tmpl w:val="0494F6EA"/>
    <w:lvl w:ilvl="0">
      <w:start w:val="1"/>
      <w:numFmt w:val="taiwaneseCountingThousand"/>
      <w:lvlText w:val="(%1)"/>
      <w:lvlJc w:val="left"/>
      <w:pPr>
        <w:ind w:left="1460" w:hanging="480"/>
      </w:pPr>
    </w:lvl>
    <w:lvl w:ilvl="1">
      <w:start w:val="1"/>
      <w:numFmt w:val="ideographTraditional"/>
      <w:lvlText w:val="%2、"/>
      <w:lvlJc w:val="left"/>
      <w:pPr>
        <w:ind w:left="1940" w:hanging="480"/>
      </w:pPr>
    </w:lvl>
    <w:lvl w:ilvl="2">
      <w:start w:val="1"/>
      <w:numFmt w:val="lowerRoman"/>
      <w:lvlText w:val="%3."/>
      <w:lvlJc w:val="right"/>
      <w:pPr>
        <w:ind w:left="2420" w:hanging="480"/>
      </w:pPr>
    </w:lvl>
    <w:lvl w:ilvl="3">
      <w:start w:val="1"/>
      <w:numFmt w:val="decimal"/>
      <w:lvlText w:val="%4."/>
      <w:lvlJc w:val="left"/>
      <w:pPr>
        <w:ind w:left="2900" w:hanging="480"/>
      </w:pPr>
    </w:lvl>
    <w:lvl w:ilvl="4">
      <w:start w:val="1"/>
      <w:numFmt w:val="ideographTraditional"/>
      <w:lvlText w:val="%5、"/>
      <w:lvlJc w:val="left"/>
      <w:pPr>
        <w:ind w:left="3380" w:hanging="480"/>
      </w:pPr>
    </w:lvl>
    <w:lvl w:ilvl="5">
      <w:start w:val="1"/>
      <w:numFmt w:val="lowerRoman"/>
      <w:lvlText w:val="%6."/>
      <w:lvlJc w:val="right"/>
      <w:pPr>
        <w:ind w:left="3860" w:hanging="480"/>
      </w:pPr>
    </w:lvl>
    <w:lvl w:ilvl="6">
      <w:start w:val="1"/>
      <w:numFmt w:val="decimal"/>
      <w:lvlText w:val="%7."/>
      <w:lvlJc w:val="left"/>
      <w:pPr>
        <w:ind w:left="4340" w:hanging="480"/>
      </w:pPr>
    </w:lvl>
    <w:lvl w:ilvl="7">
      <w:start w:val="1"/>
      <w:numFmt w:val="ideographTraditional"/>
      <w:lvlText w:val="%8、"/>
      <w:lvlJc w:val="left"/>
      <w:pPr>
        <w:ind w:left="4820" w:hanging="480"/>
      </w:pPr>
    </w:lvl>
    <w:lvl w:ilvl="8">
      <w:start w:val="1"/>
      <w:numFmt w:val="lowerRoman"/>
      <w:lvlText w:val="%9."/>
      <w:lvlJc w:val="right"/>
      <w:pPr>
        <w:ind w:left="5300" w:hanging="480"/>
      </w:pPr>
    </w:lvl>
  </w:abstractNum>
  <w:abstractNum w:abstractNumId="1">
    <w:nsid w:val="562E743B"/>
    <w:multiLevelType w:val="multilevel"/>
    <w:tmpl w:val="8294D9F4"/>
    <w:lvl w:ilvl="0">
      <w:start w:val="1"/>
      <w:numFmt w:val="taiwaneseCountingThousand"/>
      <w:lvlText w:val="%1、"/>
      <w:lvlJc w:val="left"/>
      <w:pPr>
        <w:ind w:left="2563" w:hanging="720"/>
      </w:pPr>
      <w:rPr>
        <w:lang w:val="en-US"/>
      </w:rPr>
    </w:lvl>
    <w:lvl w:ilvl="1">
      <w:start w:val="1"/>
      <w:numFmt w:val="ideographTraditional"/>
      <w:lvlText w:val="%2、"/>
      <w:lvlJc w:val="left"/>
      <w:pPr>
        <w:ind w:left="3512" w:hanging="480"/>
      </w:pPr>
    </w:lvl>
    <w:lvl w:ilvl="2">
      <w:start w:val="1"/>
      <w:numFmt w:val="lowerRoman"/>
      <w:lvlText w:val="%3."/>
      <w:lvlJc w:val="right"/>
      <w:pPr>
        <w:ind w:left="3992" w:hanging="48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2">
    <w:nsid w:val="57C32ACA"/>
    <w:multiLevelType w:val="multilevel"/>
    <w:tmpl w:val="94CE27C2"/>
    <w:lvl w:ilvl="0">
      <w:start w:val="1"/>
      <w:numFmt w:val="taiwaneseCountingThousand"/>
      <w:lvlText w:val="(%1)"/>
      <w:lvlJc w:val="left"/>
      <w:pPr>
        <w:ind w:left="2375" w:hanging="1395"/>
      </w:pPr>
    </w:lvl>
    <w:lvl w:ilvl="1">
      <w:start w:val="1"/>
      <w:numFmt w:val="ideographTraditional"/>
      <w:lvlText w:val="%2、"/>
      <w:lvlJc w:val="left"/>
      <w:pPr>
        <w:ind w:left="1940" w:hanging="480"/>
      </w:pPr>
    </w:lvl>
    <w:lvl w:ilvl="2">
      <w:start w:val="1"/>
      <w:numFmt w:val="lowerRoman"/>
      <w:lvlText w:val="%3."/>
      <w:lvlJc w:val="right"/>
      <w:pPr>
        <w:ind w:left="2420" w:hanging="480"/>
      </w:pPr>
    </w:lvl>
    <w:lvl w:ilvl="3">
      <w:start w:val="1"/>
      <w:numFmt w:val="decimal"/>
      <w:lvlText w:val="%4."/>
      <w:lvlJc w:val="left"/>
      <w:pPr>
        <w:ind w:left="2900" w:hanging="480"/>
      </w:pPr>
    </w:lvl>
    <w:lvl w:ilvl="4">
      <w:start w:val="1"/>
      <w:numFmt w:val="ideographTraditional"/>
      <w:lvlText w:val="%5、"/>
      <w:lvlJc w:val="left"/>
      <w:pPr>
        <w:ind w:left="3380" w:hanging="480"/>
      </w:pPr>
    </w:lvl>
    <w:lvl w:ilvl="5">
      <w:start w:val="1"/>
      <w:numFmt w:val="lowerRoman"/>
      <w:lvlText w:val="%6."/>
      <w:lvlJc w:val="right"/>
      <w:pPr>
        <w:ind w:left="3860" w:hanging="480"/>
      </w:pPr>
    </w:lvl>
    <w:lvl w:ilvl="6">
      <w:start w:val="1"/>
      <w:numFmt w:val="decimal"/>
      <w:lvlText w:val="%7."/>
      <w:lvlJc w:val="left"/>
      <w:pPr>
        <w:ind w:left="4340" w:hanging="480"/>
      </w:pPr>
    </w:lvl>
    <w:lvl w:ilvl="7">
      <w:start w:val="1"/>
      <w:numFmt w:val="ideographTraditional"/>
      <w:lvlText w:val="%8、"/>
      <w:lvlJc w:val="left"/>
      <w:pPr>
        <w:ind w:left="4820" w:hanging="480"/>
      </w:pPr>
    </w:lvl>
    <w:lvl w:ilvl="8">
      <w:start w:val="1"/>
      <w:numFmt w:val="lowerRoman"/>
      <w:lvlText w:val="%9."/>
      <w:lvlJc w:val="right"/>
      <w:pPr>
        <w:ind w:left="530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6397C"/>
    <w:rsid w:val="00D342EC"/>
    <w:rsid w:val="00D6340D"/>
    <w:rsid w:val="00F63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標楷體" w:hAnsi="標楷體" w:cs="Times New Roman"/>
        <w:b/>
        <w:bCs/>
        <w:kern w:val="3"/>
        <w:sz w:val="32"/>
        <w:szCs w:val="28"/>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Calibri" w:eastAsia="新細明體" w:hAnsi="Calibri"/>
      <w:b w:val="0"/>
      <w:bCs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b w:val="0"/>
      <w:bCs w:val="0"/>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b w:val="0"/>
      <w:bCs w:val="0"/>
      <w:sz w:val="20"/>
      <w:szCs w:val="20"/>
    </w:rPr>
  </w:style>
  <w:style w:type="character" w:customStyle="1" w:styleId="dialogtext1">
    <w:name w:val="dialog_text1"/>
    <w:basedOn w:val="a0"/>
    <w:rPr>
      <w:rFonts w:ascii="sөũ" w:hAnsi="sөũ"/>
      <w:color w:val="000000"/>
      <w:sz w:val="19"/>
      <w:szCs w:val="19"/>
    </w:rPr>
  </w:style>
  <w:style w:type="character" w:styleId="a8">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標楷體" w:hAnsi="標楷體" w:cs="Times New Roman"/>
        <w:b/>
        <w:bCs/>
        <w:kern w:val="3"/>
        <w:sz w:val="32"/>
        <w:szCs w:val="28"/>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Calibri" w:eastAsia="新細明體" w:hAnsi="Calibri"/>
      <w:b w:val="0"/>
      <w:bCs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b w:val="0"/>
      <w:bCs w:val="0"/>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b w:val="0"/>
      <w:bCs w:val="0"/>
      <w:sz w:val="20"/>
      <w:szCs w:val="20"/>
    </w:rPr>
  </w:style>
  <w:style w:type="character" w:customStyle="1" w:styleId="dialogtext1">
    <w:name w:val="dialog_text1"/>
    <w:basedOn w:val="a0"/>
    <w:rPr>
      <w:rFonts w:ascii="sөũ" w:hAnsi="sөũ"/>
      <w:color w:val="000000"/>
      <w:sz w:val="19"/>
      <w:szCs w:val="19"/>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kk731107</dc:creator>
  <cp:lastModifiedBy>賴詩芸</cp:lastModifiedBy>
  <cp:revision>2</cp:revision>
  <cp:lastPrinted>2013-09-30T02:36:00Z</cp:lastPrinted>
  <dcterms:created xsi:type="dcterms:W3CDTF">2024-04-15T05:25:00Z</dcterms:created>
  <dcterms:modified xsi:type="dcterms:W3CDTF">2024-04-15T05:25:00Z</dcterms:modified>
</cp:coreProperties>
</file>